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4E" w:rsidRPr="002B0990" w:rsidRDefault="00D24CC8" w:rsidP="00A7798C">
      <w:pPr>
        <w:pStyle w:val="0berschrift1"/>
        <w:rPr>
          <w:rFonts w:cs="Arial"/>
          <w:sz w:val="24"/>
        </w:rPr>
      </w:pPr>
      <w:r w:rsidRPr="002B0990">
        <w:rPr>
          <w:rFonts w:cs="Arial"/>
          <w:sz w:val="24"/>
        </w:rPr>
        <w:t>Deutschland und Polen nach dem Versailler Vertrag</w:t>
      </w:r>
    </w:p>
    <w:p w:rsidR="00D24CC8" w:rsidRPr="002B0990" w:rsidRDefault="00D24CC8" w:rsidP="00D24CC8">
      <w:pPr>
        <w:pStyle w:val="1Standardflietext"/>
        <w:rPr>
          <w:rFonts w:cs="Arial"/>
        </w:rPr>
      </w:pPr>
    </w:p>
    <w:p w:rsidR="00835A4E" w:rsidRPr="002B0990" w:rsidRDefault="00835A4E" w:rsidP="00835A4E">
      <w:pPr>
        <w:pStyle w:val="0berschrift2"/>
        <w:rPr>
          <w:rFonts w:cs="Arial"/>
        </w:rPr>
      </w:pPr>
      <w:r w:rsidRPr="002B0990">
        <w:rPr>
          <w:rFonts w:cs="Arial"/>
        </w:rPr>
        <w:t>Kurzbeschreibung des Moduls</w:t>
      </w:r>
    </w:p>
    <w:p w:rsidR="00B53726" w:rsidRPr="002B0990" w:rsidRDefault="00B53726" w:rsidP="00042E88">
      <w:pPr>
        <w:pStyle w:val="1Standardflietext"/>
        <w:jc w:val="both"/>
        <w:rPr>
          <w:rFonts w:cs="Arial"/>
        </w:rPr>
      </w:pPr>
      <w:r w:rsidRPr="002B0990">
        <w:rPr>
          <w:rFonts w:cs="Arial"/>
        </w:rPr>
        <w:t>Mit der dritten Teilung Polens 1795 verschwand das Land für 123 Jahr</w:t>
      </w:r>
      <w:r w:rsidR="00B41E59" w:rsidRPr="002B0990">
        <w:rPr>
          <w:rFonts w:cs="Arial"/>
        </w:rPr>
        <w:t>e</w:t>
      </w:r>
      <w:r w:rsidRPr="002B0990">
        <w:rPr>
          <w:rFonts w:cs="Arial"/>
        </w:rPr>
        <w:t xml:space="preserve"> von der politischen </w:t>
      </w:r>
      <w:r w:rsidR="00042E88" w:rsidRPr="002B0990">
        <w:rPr>
          <w:rFonts w:cs="Arial"/>
        </w:rPr>
        <w:t>Karte</w:t>
      </w:r>
      <w:r w:rsidRPr="002B0990">
        <w:rPr>
          <w:rFonts w:cs="Arial"/>
        </w:rPr>
        <w:t xml:space="preserve"> Europas. Als Polen 1918 in jenen Gebieten wieder neu errichtet werden sollte, die „von unbestritten polnischer Bevölkerung bewohnt sind“ (Woodrow Wilson, Punkt 13 des 14-Punkte-Programms), waren territoriale Konflikte mit den Nachbarstaaten vorprogrammier</w:t>
      </w:r>
      <w:r w:rsidR="00B41E59" w:rsidRPr="002B0990">
        <w:rPr>
          <w:rFonts w:cs="Arial"/>
        </w:rPr>
        <w:t>t.</w:t>
      </w:r>
      <w:r w:rsidRPr="002B0990">
        <w:rPr>
          <w:rFonts w:cs="Arial"/>
        </w:rPr>
        <w:t xml:space="preserve"> </w:t>
      </w:r>
      <w:r w:rsidR="00C8787E" w:rsidRPr="002B0990">
        <w:rPr>
          <w:rFonts w:cs="Arial"/>
        </w:rPr>
        <w:t>D</w:t>
      </w:r>
      <w:r w:rsidRPr="002B0990">
        <w:rPr>
          <w:rFonts w:cs="Arial"/>
        </w:rPr>
        <w:t xml:space="preserve">ie Konflikte </w:t>
      </w:r>
      <w:r w:rsidR="00C8787E" w:rsidRPr="002B0990">
        <w:rPr>
          <w:rFonts w:cs="Arial"/>
        </w:rPr>
        <w:t xml:space="preserve">wurden </w:t>
      </w:r>
      <w:r w:rsidRPr="002B0990">
        <w:rPr>
          <w:rFonts w:cs="Arial"/>
        </w:rPr>
        <w:t xml:space="preserve">nicht nur politisch ausgetragen, sondern – wie im Falle Polens mit </w:t>
      </w:r>
      <w:r w:rsidR="00B41E59" w:rsidRPr="002B0990">
        <w:rPr>
          <w:rFonts w:cs="Arial"/>
        </w:rPr>
        <w:t>Sowjetr</w:t>
      </w:r>
      <w:r w:rsidRPr="002B0990">
        <w:rPr>
          <w:rFonts w:cs="Arial"/>
        </w:rPr>
        <w:t xml:space="preserve">ussland </w:t>
      </w:r>
      <w:r w:rsidR="00763E59" w:rsidRPr="002B0990">
        <w:rPr>
          <w:rFonts w:cs="Arial"/>
        </w:rPr>
        <w:t>–</w:t>
      </w:r>
      <w:r w:rsidRPr="002B0990">
        <w:rPr>
          <w:rFonts w:cs="Arial"/>
        </w:rPr>
        <w:t xml:space="preserve"> auch militärisch. Auch mit Deutschland k</w:t>
      </w:r>
      <w:r w:rsidR="00DE660C" w:rsidRPr="002B0990">
        <w:rPr>
          <w:rFonts w:cs="Arial"/>
        </w:rPr>
        <w:t>o</w:t>
      </w:r>
      <w:r w:rsidRPr="002B0990">
        <w:rPr>
          <w:rFonts w:cs="Arial"/>
        </w:rPr>
        <w:t>nnten die unterschiedlichen Ansprüche nicht friedlich gelöst werden</w:t>
      </w:r>
      <w:r w:rsidR="00C8787E" w:rsidRPr="002B0990">
        <w:rPr>
          <w:rFonts w:cs="Arial"/>
        </w:rPr>
        <w:t>. Das nationalsozialistische Deutschland nahm territoriale Forderungen als Vorwand für den Überfall auf Polen am 1.</w:t>
      </w:r>
      <w:r w:rsidR="00763E59" w:rsidRPr="002B0990">
        <w:rPr>
          <w:rFonts w:cs="Arial"/>
        </w:rPr>
        <w:t> </w:t>
      </w:r>
      <w:r w:rsidR="00C8787E" w:rsidRPr="002B0990">
        <w:rPr>
          <w:rFonts w:cs="Arial"/>
        </w:rPr>
        <w:t xml:space="preserve">September 1939. </w:t>
      </w:r>
    </w:p>
    <w:p w:rsidR="009D799A" w:rsidRPr="002B0990" w:rsidRDefault="009D799A" w:rsidP="00042E88">
      <w:pPr>
        <w:pStyle w:val="1Standardflietext"/>
        <w:jc w:val="both"/>
        <w:rPr>
          <w:rFonts w:cs="Arial"/>
        </w:rPr>
      </w:pPr>
      <w:r w:rsidRPr="002B0990">
        <w:rPr>
          <w:rFonts w:cs="Arial"/>
        </w:rPr>
        <w:t xml:space="preserve">Das vorliegende Modul vermittelt den Schülern zunächst die territorialen Veränderungen Polens zwischen 1772 und 1945. In selbstständiger Kartenarbeit sollen die Grenzverschiebungen </w:t>
      </w:r>
      <w:r w:rsidR="003E5245" w:rsidRPr="002B0990">
        <w:rPr>
          <w:rFonts w:cs="Arial"/>
        </w:rPr>
        <w:t xml:space="preserve">in diesem Zeitraum </w:t>
      </w:r>
      <w:r w:rsidRPr="002B0990">
        <w:rPr>
          <w:rFonts w:cs="Arial"/>
        </w:rPr>
        <w:t xml:space="preserve">nachvollziehbar werden. Außerdem beleuchtet es die politisch schwierige Situation Polens nach der </w:t>
      </w:r>
      <w:r w:rsidR="00DE660C" w:rsidRPr="002B0990">
        <w:rPr>
          <w:rFonts w:cs="Arial"/>
        </w:rPr>
        <w:t xml:space="preserve">Wiedererlangung der staatlichen Souveränität </w:t>
      </w:r>
      <w:r w:rsidRPr="002B0990">
        <w:rPr>
          <w:rFonts w:cs="Arial"/>
        </w:rPr>
        <w:t xml:space="preserve">1918 sowie den Abstimmungskampf in Oberschlesien 1921, bei dem auch nationale Stereotype der damaligen Zeit eine </w:t>
      </w:r>
      <w:r w:rsidR="00DE660C" w:rsidRPr="002B0990">
        <w:rPr>
          <w:rFonts w:cs="Arial"/>
        </w:rPr>
        <w:t xml:space="preserve">große </w:t>
      </w:r>
      <w:r w:rsidRPr="002B0990">
        <w:rPr>
          <w:rFonts w:cs="Arial"/>
        </w:rPr>
        <w:t>Rolle spielten.</w:t>
      </w:r>
    </w:p>
    <w:p w:rsidR="00132531" w:rsidRPr="002B0990" w:rsidRDefault="00132531" w:rsidP="00835A4E">
      <w:pPr>
        <w:pStyle w:val="1Standardflietext"/>
        <w:rPr>
          <w:rFonts w:cs="Arial"/>
        </w:rPr>
      </w:pPr>
    </w:p>
    <w:p w:rsidR="00835A4E" w:rsidRPr="002B0990" w:rsidRDefault="00835A4E" w:rsidP="00835A4E">
      <w:pPr>
        <w:spacing w:after="240" w:line="240" w:lineRule="exact"/>
        <w:rPr>
          <w:rFonts w:cs="Arial"/>
          <w:sz w:val="22"/>
          <w:szCs w:val="20"/>
          <w:u w:val="single"/>
        </w:rPr>
      </w:pPr>
      <w:r w:rsidRPr="002B0990">
        <w:rPr>
          <w:rFonts w:cs="Arial"/>
          <w:sz w:val="22"/>
          <w:szCs w:val="20"/>
          <w:u w:val="single"/>
        </w:rPr>
        <w:t>Das Modul enthält</w:t>
      </w:r>
    </w:p>
    <w:p w:rsidR="00835A4E" w:rsidRPr="002B0990" w:rsidRDefault="00835A4E" w:rsidP="00A7798C">
      <w:pPr>
        <w:pStyle w:val="2Listeeingerckt"/>
        <w:rPr>
          <w:rFonts w:cs="Arial"/>
        </w:rPr>
      </w:pPr>
      <w:r w:rsidRPr="002B0990">
        <w:rPr>
          <w:rFonts w:cs="Arial"/>
        </w:rPr>
        <w:t xml:space="preserve">eine </w:t>
      </w:r>
      <w:r w:rsidRPr="002B0990">
        <w:rPr>
          <w:rFonts w:cs="Arial"/>
          <w:b/>
        </w:rPr>
        <w:t>didaktische Einführung</w:t>
      </w:r>
      <w:r w:rsidRPr="002B0990">
        <w:rPr>
          <w:rFonts w:cs="Arial"/>
        </w:rPr>
        <w:t xml:space="preserve"> zum Thema</w:t>
      </w:r>
    </w:p>
    <w:p w:rsidR="00835A4E" w:rsidRPr="002B0990" w:rsidRDefault="00835A4E" w:rsidP="00A7798C">
      <w:pPr>
        <w:pStyle w:val="2Listeeingerckt"/>
        <w:rPr>
          <w:rFonts w:cs="Arial"/>
          <w:b/>
        </w:rPr>
      </w:pPr>
      <w:r w:rsidRPr="002B0990">
        <w:rPr>
          <w:rFonts w:cs="Arial"/>
        </w:rPr>
        <w:t xml:space="preserve">Hinweise zu </w:t>
      </w:r>
      <w:r w:rsidRPr="002B0990">
        <w:rPr>
          <w:rFonts w:cs="Arial"/>
          <w:b/>
        </w:rPr>
        <w:t xml:space="preserve">Referatsthemen, weiterführender Literatur </w:t>
      </w:r>
      <w:r w:rsidRPr="002B0990">
        <w:rPr>
          <w:rFonts w:cs="Arial"/>
        </w:rPr>
        <w:t xml:space="preserve">sowie </w:t>
      </w:r>
      <w:r w:rsidRPr="002B0990">
        <w:rPr>
          <w:rFonts w:cs="Arial"/>
          <w:b/>
        </w:rPr>
        <w:t>Links</w:t>
      </w:r>
    </w:p>
    <w:p w:rsidR="00CC5FBE" w:rsidRPr="002B0990" w:rsidRDefault="00835A4E" w:rsidP="00CC5FBE">
      <w:pPr>
        <w:pStyle w:val="2Listeeingerckt"/>
        <w:rPr>
          <w:rFonts w:cs="Arial"/>
          <w:b/>
        </w:rPr>
      </w:pPr>
      <w:r w:rsidRPr="002B0990">
        <w:rPr>
          <w:rFonts w:cs="Arial"/>
        </w:rPr>
        <w:t xml:space="preserve">einen </w:t>
      </w:r>
      <w:r w:rsidRPr="002B0990">
        <w:rPr>
          <w:rFonts w:cs="Arial"/>
          <w:b/>
        </w:rPr>
        <w:t>Einführungstext</w:t>
      </w:r>
    </w:p>
    <w:p w:rsidR="00D24CC8" w:rsidRPr="002B0990" w:rsidRDefault="00835A4E" w:rsidP="00CC5FBE">
      <w:pPr>
        <w:pStyle w:val="2Listeeingerckt"/>
        <w:rPr>
          <w:rFonts w:cs="Arial"/>
          <w:b/>
        </w:rPr>
      </w:pPr>
      <w:r w:rsidRPr="002B0990">
        <w:rPr>
          <w:rFonts w:cs="Arial"/>
          <w:b/>
        </w:rPr>
        <w:t>Arbeitsblatt 1:</w:t>
      </w:r>
      <w:r w:rsidRPr="002B0990">
        <w:rPr>
          <w:rFonts w:cs="Arial"/>
        </w:rPr>
        <w:t xml:space="preserve"> </w:t>
      </w:r>
      <w:r w:rsidR="00CC5FBE" w:rsidRPr="002B0990">
        <w:rPr>
          <w:rStyle w:val="1StandardflietextZchnZchn"/>
          <w:rFonts w:cs="Arial"/>
        </w:rPr>
        <w:t>Die Grenzen Polens 1772, 1920 und 1945</w:t>
      </w:r>
    </w:p>
    <w:p w:rsidR="00835A4E" w:rsidRPr="002B0990" w:rsidRDefault="00835A4E" w:rsidP="002F54A5">
      <w:pPr>
        <w:pStyle w:val="2Listeeingerckt"/>
        <w:rPr>
          <w:rFonts w:cs="Arial"/>
        </w:rPr>
      </w:pPr>
      <w:r w:rsidRPr="002B0990">
        <w:rPr>
          <w:rFonts w:cs="Arial"/>
          <w:b/>
        </w:rPr>
        <w:t>Arbeitsblatt 2:</w:t>
      </w:r>
      <w:r w:rsidRPr="002B0990">
        <w:rPr>
          <w:rFonts w:cs="Arial"/>
        </w:rPr>
        <w:t xml:space="preserve"> </w:t>
      </w:r>
      <w:r w:rsidR="00CC5FBE" w:rsidRPr="002B0990">
        <w:rPr>
          <w:rFonts w:cs="Arial"/>
        </w:rPr>
        <w:t>Deutschland und Polen nach 1918</w:t>
      </w:r>
    </w:p>
    <w:p w:rsidR="00835A4E" w:rsidRPr="002B0990" w:rsidRDefault="00835A4E" w:rsidP="00A7798C">
      <w:pPr>
        <w:pStyle w:val="2Listeeingerckt"/>
        <w:rPr>
          <w:rFonts w:cs="Arial"/>
        </w:rPr>
      </w:pPr>
      <w:r w:rsidRPr="002B0990">
        <w:rPr>
          <w:rFonts w:cs="Arial"/>
          <w:b/>
        </w:rPr>
        <w:t>Arbeitsblatt 3:</w:t>
      </w:r>
      <w:r w:rsidRPr="002B0990">
        <w:rPr>
          <w:rFonts w:cs="Arial"/>
        </w:rPr>
        <w:t xml:space="preserve"> </w:t>
      </w:r>
      <w:r w:rsidR="00CC5FBE" w:rsidRPr="002B0990">
        <w:rPr>
          <w:rFonts w:cs="Arial"/>
        </w:rPr>
        <w:t>Wahlkampf in Oberschlesien 1921 – Stereotype als Argument</w:t>
      </w:r>
      <w:r w:rsidR="00DE660C" w:rsidRPr="002B0990">
        <w:rPr>
          <w:rFonts w:cs="Arial"/>
        </w:rPr>
        <w:t>e</w:t>
      </w:r>
    </w:p>
    <w:p w:rsidR="00835A4E" w:rsidRPr="002B0990" w:rsidRDefault="00835A4E" w:rsidP="00A7798C">
      <w:pPr>
        <w:pStyle w:val="2Listeeingerckt"/>
        <w:numPr>
          <w:ilvl w:val="0"/>
          <w:numId w:val="0"/>
        </w:numPr>
        <w:ind w:left="680"/>
        <w:rPr>
          <w:rFonts w:eastAsia="Courier New" w:cs="Arial"/>
        </w:rPr>
      </w:pPr>
    </w:p>
    <w:p w:rsidR="00835A4E" w:rsidRPr="002B0990" w:rsidRDefault="00835A4E" w:rsidP="00F662DB">
      <w:pPr>
        <w:pStyle w:val="2Listeeingerckt"/>
        <w:numPr>
          <w:ilvl w:val="0"/>
          <w:numId w:val="0"/>
        </w:numPr>
        <w:rPr>
          <w:rFonts w:cs="Arial"/>
          <w:i/>
          <w:sz w:val="24"/>
          <w:u w:val="single"/>
          <w:lang w:eastAsia="en-US"/>
        </w:rPr>
      </w:pPr>
      <w:r w:rsidRPr="002B0990">
        <w:rPr>
          <w:rFonts w:cs="Arial"/>
          <w:szCs w:val="24"/>
        </w:rPr>
        <w:br w:type="page"/>
      </w:r>
      <w:r w:rsidRPr="002B0990">
        <w:rPr>
          <w:rFonts w:cs="Arial"/>
          <w:i/>
          <w:sz w:val="24"/>
          <w:u w:val="single"/>
          <w:lang w:eastAsia="en-US"/>
        </w:rPr>
        <w:lastRenderedPageBreak/>
        <w:t>Didaktische Einführung zum Thema</w:t>
      </w:r>
    </w:p>
    <w:p w:rsidR="00835A4E" w:rsidRPr="002B0990" w:rsidRDefault="00835A4E" w:rsidP="00835A4E">
      <w:pPr>
        <w:pStyle w:val="1Standardflietext"/>
        <w:rPr>
          <w:rFonts w:cs="Arial"/>
          <w:lang w:eastAsia="en-US"/>
        </w:rPr>
      </w:pPr>
    </w:p>
    <w:p w:rsidR="00835A4E" w:rsidRPr="002B0990" w:rsidRDefault="00D24CC8" w:rsidP="00835A4E">
      <w:pPr>
        <w:pStyle w:val="0berschrift1"/>
        <w:rPr>
          <w:rFonts w:cs="Arial"/>
          <w:lang w:eastAsia="en-US"/>
        </w:rPr>
      </w:pPr>
      <w:r w:rsidRPr="002B0990">
        <w:rPr>
          <w:rFonts w:cs="Arial"/>
          <w:lang w:eastAsia="en-US"/>
        </w:rPr>
        <w:t>Deutschland und Polen nach dem Versailler Vertrag</w:t>
      </w:r>
    </w:p>
    <w:p w:rsidR="00835A4E" w:rsidRPr="002B0990" w:rsidRDefault="00835A4E" w:rsidP="00835A4E">
      <w:pPr>
        <w:pStyle w:val="0berschrift2"/>
        <w:rPr>
          <w:rFonts w:cs="Arial"/>
        </w:rPr>
      </w:pPr>
      <w:r w:rsidRPr="002B0990">
        <w:rPr>
          <w:rFonts w:cs="Arial"/>
        </w:rPr>
        <w:t xml:space="preserve">Hinweise zum Einsatz im Unterricht </w:t>
      </w:r>
    </w:p>
    <w:p w:rsidR="00835A4E" w:rsidRPr="002B0990" w:rsidRDefault="00835A4E" w:rsidP="00FC4C21">
      <w:pPr>
        <w:pStyle w:val="0berschrift1"/>
        <w:jc w:val="both"/>
        <w:rPr>
          <w:rFonts w:cs="Arial"/>
          <w:lang w:eastAsia="en-US"/>
        </w:rPr>
      </w:pPr>
      <w:r w:rsidRPr="002B0990">
        <w:rPr>
          <w:rFonts w:cs="Arial"/>
          <w:b w:val="0"/>
          <w:lang w:eastAsia="en-US"/>
        </w:rPr>
        <w:t>Das Thema „</w:t>
      </w:r>
      <w:r w:rsidR="00D24CC8" w:rsidRPr="002B0990">
        <w:rPr>
          <w:rFonts w:cs="Arial"/>
          <w:b w:val="0"/>
          <w:lang w:eastAsia="en-US"/>
        </w:rPr>
        <w:t>Deutschland und Polen nach dem Versailler Vertrag</w:t>
      </w:r>
      <w:r w:rsidRPr="002B0990">
        <w:rPr>
          <w:rFonts w:cs="Arial"/>
          <w:b w:val="0"/>
          <w:lang w:eastAsia="en-US"/>
        </w:rPr>
        <w:t xml:space="preserve">“ </w:t>
      </w:r>
      <w:r w:rsidRPr="002B0990">
        <w:rPr>
          <w:rFonts w:eastAsia="SabonCECV" w:cs="Arial"/>
          <w:b w:val="0"/>
        </w:rPr>
        <w:t>kann im Unterricht behandelt werden</w:t>
      </w:r>
    </w:p>
    <w:p w:rsidR="00835A4E" w:rsidRPr="002B0990" w:rsidRDefault="00835A4E" w:rsidP="00835A4E">
      <w:pPr>
        <w:pStyle w:val="2Listeeingerckt"/>
        <w:rPr>
          <w:rFonts w:cs="Arial"/>
        </w:rPr>
      </w:pPr>
      <w:r w:rsidRPr="002B0990">
        <w:rPr>
          <w:rFonts w:cs="Arial"/>
        </w:rPr>
        <w:t>im Kontext der Unterrichtseinheit „</w:t>
      </w:r>
      <w:r w:rsidR="00D24CC8" w:rsidRPr="002B0990">
        <w:rPr>
          <w:rFonts w:cs="Arial"/>
        </w:rPr>
        <w:t>Deutschland und der Versailler Vertrag</w:t>
      </w:r>
      <w:r w:rsidRPr="002B0990">
        <w:rPr>
          <w:rFonts w:cs="Arial"/>
        </w:rPr>
        <w:t>“</w:t>
      </w:r>
    </w:p>
    <w:p w:rsidR="00835A4E" w:rsidRPr="002B0990" w:rsidRDefault="00835A4E" w:rsidP="00835A4E">
      <w:pPr>
        <w:pStyle w:val="2Listeeingerckt"/>
        <w:rPr>
          <w:rFonts w:cs="Arial"/>
        </w:rPr>
      </w:pPr>
      <w:r w:rsidRPr="002B0990">
        <w:rPr>
          <w:rFonts w:cs="Arial"/>
        </w:rPr>
        <w:t>im Kontext der Vorbereitung von Schüleraustauschprogrammen und Klassenfahrten nach Polen</w:t>
      </w:r>
    </w:p>
    <w:p w:rsidR="00835A4E" w:rsidRPr="002B0990" w:rsidRDefault="00835A4E" w:rsidP="00835A4E">
      <w:pPr>
        <w:pStyle w:val="1Standardflietext"/>
        <w:rPr>
          <w:rFonts w:cs="Arial"/>
        </w:rPr>
      </w:pPr>
    </w:p>
    <w:p w:rsidR="00835A4E" w:rsidRPr="002B0990" w:rsidRDefault="00835A4E" w:rsidP="00835A4E">
      <w:pPr>
        <w:pStyle w:val="0berschrift2"/>
        <w:rPr>
          <w:rFonts w:cs="Arial"/>
        </w:rPr>
      </w:pPr>
      <w:r w:rsidRPr="002B0990">
        <w:rPr>
          <w:rFonts w:cs="Arial"/>
        </w:rPr>
        <w:t>Film</w:t>
      </w:r>
    </w:p>
    <w:p w:rsidR="00D24CC8" w:rsidRPr="002B0990" w:rsidRDefault="00D24CC8" w:rsidP="00D24CC8">
      <w:pPr>
        <w:pStyle w:val="1Standardflietext"/>
        <w:jc w:val="both"/>
        <w:rPr>
          <w:rFonts w:cs="Arial"/>
          <w:b/>
        </w:rPr>
      </w:pPr>
      <w:r w:rsidRPr="002B0990">
        <w:rPr>
          <w:rFonts w:cs="Arial"/>
          <w:b/>
        </w:rPr>
        <w:t>Der Versailler Vertrag</w:t>
      </w:r>
      <w:r w:rsidR="00DE660C" w:rsidRPr="002B0990">
        <w:rPr>
          <w:rFonts w:cs="Arial"/>
          <w:b/>
        </w:rPr>
        <w:t xml:space="preserve"> (3.</w:t>
      </w:r>
      <w:r w:rsidRPr="002B0990">
        <w:rPr>
          <w:rFonts w:cs="Arial"/>
          <w:b/>
        </w:rPr>
        <w:t>30 Min.)</w:t>
      </w:r>
    </w:p>
    <w:p w:rsidR="00835A4E" w:rsidRPr="002B0990" w:rsidRDefault="00C655AA" w:rsidP="00D24CC8">
      <w:pPr>
        <w:pStyle w:val="1Standardflietext"/>
        <w:jc w:val="both"/>
        <w:rPr>
          <w:rFonts w:cs="Arial"/>
        </w:rPr>
      </w:pPr>
      <w:hyperlink r:id="rId9" w:history="1">
        <w:r w:rsidR="00D24CC8" w:rsidRPr="002B0990">
          <w:rPr>
            <w:rStyle w:val="Hyperlink"/>
            <w:rFonts w:cs="Arial"/>
            <w:color w:val="auto"/>
          </w:rPr>
          <w:t>https://www.youtube.com/watch?v=zZSPXJ4HFEs</w:t>
        </w:r>
      </w:hyperlink>
    </w:p>
    <w:p w:rsidR="00D24CC8" w:rsidRPr="002B0990" w:rsidRDefault="00D24CC8" w:rsidP="00D24CC8">
      <w:pPr>
        <w:pStyle w:val="1Standardflietext"/>
        <w:jc w:val="both"/>
        <w:rPr>
          <w:rFonts w:cs="Arial"/>
          <w:i/>
        </w:rPr>
      </w:pPr>
      <w:r w:rsidRPr="002B0990">
        <w:rPr>
          <w:rFonts w:cs="Arial"/>
          <w:i/>
        </w:rPr>
        <w:t>Kurzer, guter Überblick über die wichtigsten Fakten im Kontext des Versailler Vertrags 1919.</w:t>
      </w:r>
    </w:p>
    <w:p w:rsidR="00835A4E" w:rsidRPr="002B0990" w:rsidRDefault="00835A4E" w:rsidP="00835A4E">
      <w:pPr>
        <w:pStyle w:val="1Standardflietext"/>
        <w:rPr>
          <w:rFonts w:cs="Arial"/>
        </w:rPr>
      </w:pPr>
    </w:p>
    <w:p w:rsidR="00835A4E" w:rsidRPr="002B0990" w:rsidRDefault="00835A4E" w:rsidP="00AA2221">
      <w:pPr>
        <w:pStyle w:val="0berschrift2"/>
        <w:jc w:val="both"/>
        <w:rPr>
          <w:rFonts w:cs="Arial"/>
        </w:rPr>
      </w:pPr>
      <w:r w:rsidRPr="002B0990">
        <w:rPr>
          <w:rFonts w:cs="Arial"/>
        </w:rPr>
        <w:t>Einführungstext:</w:t>
      </w:r>
    </w:p>
    <w:p w:rsidR="00FC4C21" w:rsidRPr="002B0990" w:rsidRDefault="009D799A" w:rsidP="00DE660C">
      <w:pPr>
        <w:pStyle w:val="1Standardflietext"/>
        <w:jc w:val="both"/>
        <w:rPr>
          <w:rFonts w:cs="Arial"/>
        </w:rPr>
      </w:pPr>
      <w:r w:rsidRPr="002B0990">
        <w:rPr>
          <w:rFonts w:cs="Arial"/>
        </w:rPr>
        <w:t>Der Einführungstext vermittelt einen Überblick über die politische Situation Polens im Jahr 1918, indem er auch auf die Vorgesch</w:t>
      </w:r>
      <w:r w:rsidR="0070246E" w:rsidRPr="002B0990">
        <w:rPr>
          <w:rFonts w:cs="Arial"/>
        </w:rPr>
        <w:t>ichte der drei Teilungen im 18. </w:t>
      </w:r>
      <w:r w:rsidRPr="002B0990">
        <w:rPr>
          <w:rFonts w:cs="Arial"/>
        </w:rPr>
        <w:t xml:space="preserve">Jahrhundert zurückblickt. Das durch den Versailler Vertrag hervorgerufene politische wie territoriale Konfliktpotential wird </w:t>
      </w:r>
      <w:r w:rsidR="00127FEC" w:rsidRPr="002B0990">
        <w:rPr>
          <w:rFonts w:cs="Arial"/>
        </w:rPr>
        <w:t>dargestellt und in seiner Entwicklung während der Zwischenkriegszeit skizz</w:t>
      </w:r>
      <w:r w:rsidR="00886131" w:rsidRPr="002B0990">
        <w:rPr>
          <w:rFonts w:cs="Arial"/>
        </w:rPr>
        <w:t>iert. Ebenso werden die Hintergründe</w:t>
      </w:r>
      <w:r w:rsidR="00127FEC" w:rsidRPr="002B0990">
        <w:rPr>
          <w:rFonts w:cs="Arial"/>
        </w:rPr>
        <w:t xml:space="preserve"> und der Verlauf der Volksabstimmung in Oberschlesien 1921 </w:t>
      </w:r>
      <w:r w:rsidR="00DE660C" w:rsidRPr="002B0990">
        <w:rPr>
          <w:rFonts w:cs="Arial"/>
        </w:rPr>
        <w:t>behandelt</w:t>
      </w:r>
      <w:r w:rsidR="00127FEC" w:rsidRPr="002B0990">
        <w:rPr>
          <w:rFonts w:cs="Arial"/>
        </w:rPr>
        <w:t>.</w:t>
      </w:r>
    </w:p>
    <w:p w:rsidR="00B53726" w:rsidRPr="002B0990" w:rsidRDefault="00B53726" w:rsidP="00FC4C21">
      <w:pPr>
        <w:spacing w:line="240" w:lineRule="exact"/>
        <w:jc w:val="both"/>
        <w:rPr>
          <w:rFonts w:cs="Arial"/>
          <w:b/>
          <w:sz w:val="28"/>
        </w:rPr>
      </w:pPr>
    </w:p>
    <w:p w:rsidR="00835A4E" w:rsidRPr="002B0990" w:rsidRDefault="00835A4E" w:rsidP="00835A4E">
      <w:pPr>
        <w:pStyle w:val="0berschrift2"/>
        <w:rPr>
          <w:rFonts w:cs="Arial"/>
        </w:rPr>
      </w:pPr>
      <w:r w:rsidRPr="002B0990">
        <w:rPr>
          <w:rFonts w:cs="Arial"/>
        </w:rPr>
        <w:t>Themen der Arbeitsblätter</w:t>
      </w:r>
    </w:p>
    <w:p w:rsidR="00B53726" w:rsidRPr="002B0990" w:rsidRDefault="00B53726" w:rsidP="00B53726">
      <w:pPr>
        <w:pStyle w:val="2Listeeingerckt"/>
        <w:numPr>
          <w:ilvl w:val="0"/>
          <w:numId w:val="0"/>
        </w:numPr>
        <w:rPr>
          <w:rFonts w:cs="Arial"/>
          <w:b/>
        </w:rPr>
      </w:pPr>
      <w:r w:rsidRPr="002B0990">
        <w:rPr>
          <w:rFonts w:cs="Arial"/>
          <w:b/>
        </w:rPr>
        <w:t>Arbeitsblatt 1:</w:t>
      </w:r>
      <w:r w:rsidRPr="002B0990">
        <w:rPr>
          <w:rFonts w:cs="Arial"/>
        </w:rPr>
        <w:t xml:space="preserve"> </w:t>
      </w:r>
      <w:r w:rsidRPr="002B0990">
        <w:rPr>
          <w:rStyle w:val="1StandardflietextZchnZchn"/>
          <w:rFonts w:cs="Arial"/>
        </w:rPr>
        <w:t>Die Grenzen Polens 1772, 1920 und 1945</w:t>
      </w:r>
    </w:p>
    <w:p w:rsidR="00B53726" w:rsidRPr="002B0990" w:rsidRDefault="00B53726" w:rsidP="00B53726">
      <w:pPr>
        <w:pStyle w:val="2Listeeingerckt"/>
        <w:numPr>
          <w:ilvl w:val="0"/>
          <w:numId w:val="0"/>
        </w:numPr>
        <w:rPr>
          <w:rFonts w:cs="Arial"/>
        </w:rPr>
      </w:pPr>
      <w:r w:rsidRPr="002B0990">
        <w:rPr>
          <w:rFonts w:cs="Arial"/>
          <w:b/>
        </w:rPr>
        <w:t>Arbeitsblatt 2:</w:t>
      </w:r>
      <w:r w:rsidRPr="002B0990">
        <w:rPr>
          <w:rFonts w:cs="Arial"/>
        </w:rPr>
        <w:t xml:space="preserve"> Deutschland und Polen nach 1918</w:t>
      </w:r>
    </w:p>
    <w:p w:rsidR="00B53726" w:rsidRPr="002B0990" w:rsidRDefault="00B53726" w:rsidP="00B53726">
      <w:pPr>
        <w:pStyle w:val="2Listeeingerckt"/>
        <w:numPr>
          <w:ilvl w:val="0"/>
          <w:numId w:val="0"/>
        </w:numPr>
        <w:rPr>
          <w:rFonts w:cs="Arial"/>
        </w:rPr>
      </w:pPr>
      <w:r w:rsidRPr="002B0990">
        <w:rPr>
          <w:rFonts w:cs="Arial"/>
          <w:b/>
        </w:rPr>
        <w:t>Arbeitsblatt 3:</w:t>
      </w:r>
      <w:r w:rsidRPr="002B0990">
        <w:rPr>
          <w:rFonts w:cs="Arial"/>
        </w:rPr>
        <w:t xml:space="preserve"> Wahlkampf in Oberschlesien 1921 – Stereotype als Argument</w:t>
      </w:r>
      <w:r w:rsidR="00DE660C" w:rsidRPr="002B0990">
        <w:rPr>
          <w:rFonts w:cs="Arial"/>
        </w:rPr>
        <w:t>e</w:t>
      </w:r>
    </w:p>
    <w:p w:rsidR="00835A4E" w:rsidRPr="002B0990" w:rsidRDefault="00835A4E" w:rsidP="00835A4E">
      <w:pPr>
        <w:pStyle w:val="1Standardflietext"/>
        <w:spacing w:after="0"/>
        <w:rPr>
          <w:rFonts w:cs="Arial"/>
          <w:b/>
          <w:sz w:val="24"/>
        </w:rPr>
      </w:pPr>
    </w:p>
    <w:p w:rsidR="00182CDD" w:rsidRPr="002B0990" w:rsidRDefault="00182CDD">
      <w:pPr>
        <w:spacing w:after="0" w:line="240" w:lineRule="auto"/>
        <w:rPr>
          <w:rFonts w:cs="Arial"/>
          <w:sz w:val="22"/>
          <w:szCs w:val="20"/>
          <w:u w:val="single"/>
          <w:lang w:eastAsia="en-US"/>
        </w:rPr>
      </w:pPr>
      <w:r w:rsidRPr="002B0990">
        <w:rPr>
          <w:rFonts w:cs="Arial"/>
          <w:lang w:eastAsia="en-US"/>
        </w:rPr>
        <w:br w:type="page"/>
      </w:r>
    </w:p>
    <w:p w:rsidR="00835A4E" w:rsidRPr="002B0990" w:rsidRDefault="00835A4E" w:rsidP="00835A4E">
      <w:pPr>
        <w:pStyle w:val="0berschrift2"/>
        <w:rPr>
          <w:rFonts w:cs="Arial"/>
          <w:lang w:eastAsia="en-US"/>
        </w:rPr>
      </w:pPr>
      <w:r w:rsidRPr="002B0990">
        <w:rPr>
          <w:rFonts w:cs="Arial"/>
          <w:lang w:eastAsia="en-US"/>
        </w:rPr>
        <w:lastRenderedPageBreak/>
        <w:t>Themen, Links und Literatur</w:t>
      </w:r>
    </w:p>
    <w:p w:rsidR="00E62873" w:rsidRPr="002B0990" w:rsidRDefault="00E62873" w:rsidP="00E62873">
      <w:pPr>
        <w:pStyle w:val="1Standardflietext"/>
        <w:spacing w:after="120"/>
        <w:jc w:val="both"/>
        <w:rPr>
          <w:rFonts w:cs="Arial"/>
          <w:lang w:eastAsia="en-US"/>
        </w:rPr>
      </w:pPr>
      <w:r w:rsidRPr="002B0990">
        <w:rPr>
          <w:rStyle w:val="1kursiv"/>
          <w:rFonts w:cs="Arial"/>
          <w:i w:val="0"/>
        </w:rPr>
        <w:t>Die Themenvorschläge für Referate oder Hausarbeiten sollen LehrerInnen Möglichkeiten aufzeigen, das Thema mit den SchülerInnen zu bearbeiten. Entsprechende Hinweise zur Sekundärliteratur erleichtern die Recherche und geben erste Anhaltspunkte für den Arbeitseinstieg.</w:t>
      </w:r>
    </w:p>
    <w:p w:rsidR="00887C54" w:rsidRPr="002B0990" w:rsidRDefault="00887C54" w:rsidP="00835A4E">
      <w:pPr>
        <w:pStyle w:val="0berschrift3"/>
        <w:rPr>
          <w:rFonts w:cs="Arial"/>
          <w:lang w:eastAsia="en-US"/>
        </w:rPr>
      </w:pPr>
    </w:p>
    <w:p w:rsidR="00835A4E" w:rsidRPr="002B0990" w:rsidRDefault="00835A4E" w:rsidP="00EF1810">
      <w:pPr>
        <w:pStyle w:val="0berschrift3"/>
        <w:spacing w:after="120"/>
        <w:rPr>
          <w:rFonts w:cs="Arial"/>
          <w:lang w:eastAsia="en-US"/>
        </w:rPr>
      </w:pPr>
      <w:r w:rsidRPr="002B0990">
        <w:rPr>
          <w:rFonts w:cs="Arial"/>
          <w:lang w:eastAsia="en-US"/>
        </w:rPr>
        <w:t>Themen fü</w:t>
      </w:r>
      <w:r w:rsidR="00EB5B97" w:rsidRPr="002B0990">
        <w:rPr>
          <w:rFonts w:cs="Arial"/>
          <w:lang w:eastAsia="en-US"/>
        </w:rPr>
        <w:t xml:space="preserve">r Referate und </w:t>
      </w:r>
      <w:r w:rsidR="00A14B73" w:rsidRPr="002B0990">
        <w:rPr>
          <w:rFonts w:cs="Arial"/>
          <w:lang w:eastAsia="en-US"/>
        </w:rPr>
        <w:t>Haus</w:t>
      </w:r>
      <w:r w:rsidR="00EB5B97" w:rsidRPr="002B0990">
        <w:rPr>
          <w:rFonts w:cs="Arial"/>
          <w:lang w:eastAsia="en-US"/>
        </w:rPr>
        <w:t>arbeiten</w:t>
      </w:r>
    </w:p>
    <w:p w:rsidR="00887C54" w:rsidRPr="002B0990" w:rsidRDefault="00887C54" w:rsidP="00EF1810">
      <w:pPr>
        <w:pStyle w:val="1Standardflietext"/>
        <w:spacing w:after="240"/>
        <w:jc w:val="both"/>
        <w:rPr>
          <w:rFonts w:cs="Arial"/>
          <w:i/>
        </w:rPr>
      </w:pPr>
      <w:r w:rsidRPr="002B0990">
        <w:rPr>
          <w:rFonts w:cs="Arial"/>
          <w:i/>
        </w:rPr>
        <w:t>Polen nach dem Ersten Weltkrieg. Subjekt oder Objekt europäischer Machtpolitik?</w:t>
      </w:r>
    </w:p>
    <w:p w:rsidR="00887C54" w:rsidRPr="002B0990" w:rsidRDefault="00887C54" w:rsidP="00EF1810">
      <w:pPr>
        <w:pStyle w:val="1Standardflietext"/>
        <w:spacing w:after="240"/>
        <w:jc w:val="both"/>
        <w:rPr>
          <w:rFonts w:cs="Arial"/>
          <w:i/>
        </w:rPr>
      </w:pPr>
      <w:r w:rsidRPr="002B0990">
        <w:rPr>
          <w:rFonts w:cs="Arial"/>
          <w:i/>
        </w:rPr>
        <w:t>Deutsch-polnische Stereotype im Spiegel des Abstimmungskampfes in Oberschlesien 1921.</w:t>
      </w:r>
    </w:p>
    <w:p w:rsidR="00887C54" w:rsidRPr="002B0990" w:rsidRDefault="00887C54" w:rsidP="00EF1810">
      <w:pPr>
        <w:pStyle w:val="1Standardflietext"/>
        <w:spacing w:after="240"/>
        <w:jc w:val="both"/>
        <w:rPr>
          <w:rFonts w:cs="Arial"/>
          <w:i/>
        </w:rPr>
      </w:pPr>
      <w:r w:rsidRPr="002B0990">
        <w:rPr>
          <w:rFonts w:cs="Arial"/>
          <w:i/>
        </w:rPr>
        <w:t xml:space="preserve">Die Regelungen </w:t>
      </w:r>
      <w:r w:rsidR="00886131" w:rsidRPr="002B0990">
        <w:rPr>
          <w:rFonts w:cs="Arial"/>
          <w:i/>
        </w:rPr>
        <w:t>zu Polen</w:t>
      </w:r>
      <w:r w:rsidRPr="002B0990">
        <w:rPr>
          <w:rFonts w:cs="Arial"/>
          <w:i/>
        </w:rPr>
        <w:t xml:space="preserve"> im Versailler Vertrag und deren Umsetzung und Konsequenzen</w:t>
      </w:r>
      <w:r w:rsidR="000510C9" w:rsidRPr="002B0990">
        <w:rPr>
          <w:rFonts w:cs="Arial"/>
          <w:i/>
        </w:rPr>
        <w:t>.</w:t>
      </w:r>
      <w:r w:rsidR="00EF1810" w:rsidRPr="002B0990">
        <w:rPr>
          <w:rFonts w:cs="Arial"/>
          <w:i/>
        </w:rPr>
        <w:t xml:space="preserve"> </w:t>
      </w:r>
      <w:r w:rsidR="00EF1810" w:rsidRPr="002B0990">
        <w:rPr>
          <w:rFonts w:cs="Arial"/>
          <w:i/>
        </w:rPr>
        <w:br/>
      </w:r>
    </w:p>
    <w:p w:rsidR="00835A4E" w:rsidRPr="002B0990" w:rsidRDefault="00835A4E" w:rsidP="00835A4E">
      <w:pPr>
        <w:pStyle w:val="0berschrift3"/>
        <w:rPr>
          <w:rFonts w:cs="Arial"/>
        </w:rPr>
      </w:pPr>
      <w:r w:rsidRPr="002B0990">
        <w:rPr>
          <w:rFonts w:cs="Arial"/>
        </w:rPr>
        <w:t>Das Thema im Internet</w:t>
      </w:r>
    </w:p>
    <w:p w:rsidR="00DE660C" w:rsidRPr="002B0990" w:rsidRDefault="00DE660C" w:rsidP="003A097E">
      <w:pPr>
        <w:pStyle w:val="1Standardflietext"/>
        <w:spacing w:after="240"/>
        <w:rPr>
          <w:rFonts w:cs="Arial"/>
          <w:i/>
        </w:rPr>
      </w:pPr>
      <w:r w:rsidRPr="002B0990">
        <w:rPr>
          <w:rFonts w:cs="Arial"/>
        </w:rPr>
        <w:t>„Erster Weltkrieg und Wiederherstellung Polens 1914-1918“</w:t>
      </w:r>
      <w:r w:rsidR="003A097E">
        <w:rPr>
          <w:rFonts w:cs="Arial"/>
        </w:rPr>
        <w:br/>
      </w:r>
      <w:hyperlink r:id="rId10" w:history="1">
        <w:r w:rsidR="003E2E29" w:rsidRPr="003E7EF5">
          <w:rPr>
            <w:rStyle w:val="Hyperlink"/>
            <w:rFonts w:cs="Arial"/>
          </w:rPr>
          <w:t>http://www.deutscheundpolen.de/themen/thema_jsp/key=germanisierung_6.html</w:t>
        </w:r>
      </w:hyperlink>
      <w:r w:rsidR="003E2E29">
        <w:rPr>
          <w:rFonts w:cs="Arial"/>
        </w:rPr>
        <w:t xml:space="preserve"> </w:t>
      </w:r>
      <w:r w:rsidRPr="002B0990">
        <w:rPr>
          <w:rFonts w:cs="Arial"/>
        </w:rPr>
        <w:t xml:space="preserve"> </w:t>
      </w:r>
      <w:r w:rsidR="003A097E">
        <w:rPr>
          <w:rFonts w:cs="Arial"/>
        </w:rPr>
        <w:br/>
      </w:r>
      <w:r w:rsidRPr="002B0990">
        <w:rPr>
          <w:rFonts w:cs="Arial"/>
          <w:i/>
        </w:rPr>
        <w:t>Beitrag im Internetportal „Deutsche &amp; Polen“ mit Fotos und Interviews.</w:t>
      </w:r>
    </w:p>
    <w:p w:rsidR="00324F76" w:rsidRPr="002B0990" w:rsidRDefault="00324F76" w:rsidP="003A097E">
      <w:pPr>
        <w:pStyle w:val="1Standardflietext"/>
        <w:spacing w:after="240"/>
        <w:rPr>
          <w:rFonts w:cs="Arial"/>
          <w:i/>
        </w:rPr>
      </w:pPr>
      <w:r w:rsidRPr="002B0990">
        <w:rPr>
          <w:rFonts w:cs="Arial"/>
        </w:rPr>
        <w:t xml:space="preserve">NZZ-Podium zum Ersten Weltkrieg. Mit Prof. Dr. Włodzimierz Borodziej, Prof. Dr. Ute Frevert, Prof. Dr. Timothy Snyder. </w:t>
      </w:r>
      <w:hyperlink r:id="rId11" w:history="1">
        <w:r w:rsidR="003E2E29" w:rsidRPr="003E7EF5">
          <w:rPr>
            <w:rStyle w:val="Hyperlink"/>
            <w:rFonts w:cs="Arial"/>
          </w:rPr>
          <w:t>http://podium.nzz.ch/event/1914/</w:t>
        </w:r>
      </w:hyperlink>
      <w:r w:rsidR="003E2E29">
        <w:rPr>
          <w:rFonts w:cs="Arial"/>
        </w:rPr>
        <w:t xml:space="preserve"> </w:t>
      </w:r>
      <w:r w:rsidR="003A097E">
        <w:rPr>
          <w:rFonts w:cs="Arial"/>
        </w:rPr>
        <w:br/>
      </w:r>
      <w:r w:rsidRPr="002B0990">
        <w:rPr>
          <w:rFonts w:cs="Arial"/>
          <w:i/>
        </w:rPr>
        <w:t>Textauszüge, Audio- und Video-Aufnahmen der Podiumsdiskussion.</w:t>
      </w:r>
    </w:p>
    <w:p w:rsidR="008A2E2A" w:rsidRPr="002B0990" w:rsidRDefault="008A2E2A" w:rsidP="003A097E">
      <w:pPr>
        <w:pStyle w:val="1Standardflietext"/>
        <w:spacing w:after="240"/>
        <w:rPr>
          <w:rFonts w:cs="Arial"/>
          <w:i/>
        </w:rPr>
      </w:pPr>
      <w:r w:rsidRPr="002B0990">
        <w:rPr>
          <w:rFonts w:cs="Arial"/>
        </w:rPr>
        <w:t xml:space="preserve">Modul die „Zweite Polnische Republik“. Bearbeiterin: Heidi Hein (= Dokumente und Materialien zur Ostmitteleuropäischen Geschichte): </w:t>
      </w:r>
      <w:hyperlink r:id="rId12" w:history="1">
        <w:r w:rsidR="003E2E29" w:rsidRPr="003E7EF5">
          <w:rPr>
            <w:rStyle w:val="Hyperlink"/>
            <w:rFonts w:cs="Arial"/>
          </w:rPr>
          <w:t>http://www.herder-institut.de/no_cache/bestaende-digitale-angebote/e-publikationen/dokumente-und-materialien/themenmodule/modul/11/seite.html</w:t>
        </w:r>
      </w:hyperlink>
      <w:r w:rsidR="003E2E29">
        <w:rPr>
          <w:rFonts w:cs="Arial"/>
        </w:rPr>
        <w:t xml:space="preserve"> </w:t>
      </w:r>
      <w:r w:rsidR="00982CDD" w:rsidRPr="002B0990">
        <w:rPr>
          <w:rFonts w:cs="Arial"/>
        </w:rPr>
        <w:t xml:space="preserve"> </w:t>
      </w:r>
      <w:r w:rsidR="003A097E">
        <w:rPr>
          <w:rFonts w:cs="Arial"/>
        </w:rPr>
        <w:br/>
      </w:r>
      <w:r w:rsidRPr="002B0990">
        <w:rPr>
          <w:rFonts w:cs="Arial"/>
          <w:i/>
          <w:iCs/>
        </w:rPr>
        <w:t>Ausführliche Textquellen, Materialien, Bilder, Karten, demografische Daten</w:t>
      </w:r>
      <w:r w:rsidRPr="002B0990">
        <w:rPr>
          <w:rFonts w:cs="Arial"/>
          <w:i/>
        </w:rPr>
        <w:t>.</w:t>
      </w:r>
    </w:p>
    <w:p w:rsidR="007C73A7" w:rsidRPr="002B0990" w:rsidRDefault="007C73A7" w:rsidP="003A097E">
      <w:pPr>
        <w:pStyle w:val="1Standardflietext"/>
        <w:spacing w:after="240"/>
        <w:rPr>
          <w:rFonts w:cs="Arial"/>
        </w:rPr>
      </w:pPr>
      <w:r w:rsidRPr="002B0990">
        <w:rPr>
          <w:rFonts w:cs="Arial"/>
        </w:rPr>
        <w:t>„Der fremde Krieg“, FAZ vom 10.08.2014, von Krzysztof Ruchniewicz</w:t>
      </w:r>
      <w:r w:rsidR="003A097E">
        <w:rPr>
          <w:rFonts w:cs="Arial"/>
        </w:rPr>
        <w:br/>
      </w:r>
      <w:hyperlink r:id="rId13" w:history="1">
        <w:r w:rsidR="003E2E29" w:rsidRPr="003E7EF5">
          <w:rPr>
            <w:rStyle w:val="Hyperlink"/>
            <w:rFonts w:cs="Arial"/>
          </w:rPr>
          <w:t>http://www.faz.net/aktuell/politik/die-gegenwart/der-erste-weltkrieg-der-fremde-krieg-13090610.html</w:t>
        </w:r>
      </w:hyperlink>
      <w:r w:rsidR="003E2E29">
        <w:rPr>
          <w:rFonts w:cs="Arial"/>
        </w:rPr>
        <w:t xml:space="preserve"> </w:t>
      </w:r>
    </w:p>
    <w:p w:rsidR="00F5482F" w:rsidRPr="002B0990" w:rsidRDefault="00F5482F" w:rsidP="003A097E">
      <w:pPr>
        <w:pStyle w:val="1Standardflietext"/>
        <w:spacing w:after="240"/>
        <w:rPr>
          <w:rFonts w:cs="Arial"/>
          <w:i/>
        </w:rPr>
      </w:pPr>
      <w:r w:rsidRPr="002B0990">
        <w:rPr>
          <w:rFonts w:cs="Arial"/>
        </w:rPr>
        <w:t>„Das Verhältnis zwischen Polen und Deutschland nach dem Ersten Weltkrieg bis zum Jahr 1970“</w:t>
      </w:r>
      <w:r w:rsidR="00856387" w:rsidRPr="002B0990">
        <w:rPr>
          <w:rFonts w:cs="Arial"/>
        </w:rPr>
        <w:t xml:space="preserve">, </w:t>
      </w:r>
      <w:hyperlink r:id="rId14" w:history="1">
        <w:r w:rsidR="003E2E29" w:rsidRPr="003E7EF5">
          <w:rPr>
            <w:rStyle w:val="Hyperlink"/>
            <w:rFonts w:cs="Arial"/>
          </w:rPr>
          <w:t>http://brandenburg.rz.htw-berlin.de/polen_deutsch.html</w:t>
        </w:r>
      </w:hyperlink>
      <w:r w:rsidR="003E2E29">
        <w:rPr>
          <w:rFonts w:cs="Arial"/>
        </w:rPr>
        <w:t xml:space="preserve"> </w:t>
      </w:r>
      <w:r w:rsidR="003A097E">
        <w:rPr>
          <w:rFonts w:cs="Arial"/>
        </w:rPr>
        <w:br/>
      </w:r>
      <w:r w:rsidRPr="002B0990">
        <w:rPr>
          <w:rFonts w:cs="Arial"/>
          <w:i/>
        </w:rPr>
        <w:t>Überblicksdarstellung mit zahlreichen Bildern, Wahlplakaten, Tabellen der Abstimmungsergebnisse und Karten.</w:t>
      </w:r>
    </w:p>
    <w:p w:rsidR="00DE660C" w:rsidRPr="002B0990" w:rsidRDefault="00DE660C" w:rsidP="003A097E">
      <w:pPr>
        <w:spacing w:after="240"/>
        <w:rPr>
          <w:rFonts w:cs="Arial"/>
          <w:i/>
          <w:sz w:val="22"/>
        </w:rPr>
      </w:pPr>
      <w:r w:rsidRPr="002B0990">
        <w:rPr>
          <w:rFonts w:cs="Arial"/>
          <w:sz w:val="22"/>
        </w:rPr>
        <w:t>„100 Jahre Erster Weltkrieg. Wiedergeburt des polnischen Staates“</w:t>
      </w:r>
      <w:r w:rsidR="00856387" w:rsidRPr="002B0990">
        <w:rPr>
          <w:rFonts w:cs="Arial"/>
          <w:sz w:val="22"/>
        </w:rPr>
        <w:t>,</w:t>
      </w:r>
      <w:r w:rsidRPr="002B0990">
        <w:rPr>
          <w:rFonts w:cs="Arial"/>
          <w:sz w:val="22"/>
        </w:rPr>
        <w:t xml:space="preserve"> Deutschlandfunk, 05.04.2014</w:t>
      </w:r>
      <w:r w:rsidR="00856387" w:rsidRPr="002B0990">
        <w:rPr>
          <w:rFonts w:cs="Arial"/>
          <w:sz w:val="22"/>
        </w:rPr>
        <w:t xml:space="preserve">, </w:t>
      </w:r>
      <w:hyperlink r:id="rId15" w:history="1">
        <w:r w:rsidR="00856387" w:rsidRPr="002B0990">
          <w:rPr>
            <w:rStyle w:val="Hyperlink"/>
            <w:rFonts w:cs="Arial"/>
            <w:color w:val="auto"/>
            <w:sz w:val="22"/>
          </w:rPr>
          <w:t>http://www.deutschlandfunk.de/100-jahre-erster-weltkrieg-wiedergeburt-des-polnischen.694.de.html?dram:article_id=282111</w:t>
        </w:r>
      </w:hyperlink>
      <w:r w:rsidR="00856387" w:rsidRPr="002B0990">
        <w:rPr>
          <w:rFonts w:cs="Arial"/>
          <w:sz w:val="22"/>
        </w:rPr>
        <w:t xml:space="preserve"> </w:t>
      </w:r>
      <w:r w:rsidR="003A097E">
        <w:rPr>
          <w:rFonts w:cs="Arial"/>
          <w:sz w:val="22"/>
        </w:rPr>
        <w:br/>
      </w:r>
      <w:r w:rsidRPr="002B0990">
        <w:rPr>
          <w:rFonts w:cs="Arial"/>
          <w:i/>
          <w:sz w:val="22"/>
        </w:rPr>
        <w:t>Adam Krzeminski im Gespräch mit Christiane Kaess (Textversion, kein Audio aktiv).</w:t>
      </w:r>
    </w:p>
    <w:p w:rsidR="00DE660C" w:rsidRPr="002B0990" w:rsidRDefault="00DE660C" w:rsidP="003A097E">
      <w:pPr>
        <w:spacing w:after="240"/>
        <w:rPr>
          <w:rFonts w:cs="Arial"/>
          <w:sz w:val="22"/>
        </w:rPr>
      </w:pPr>
      <w:r w:rsidRPr="002B0990">
        <w:rPr>
          <w:rFonts w:cs="Arial"/>
          <w:sz w:val="22"/>
        </w:rPr>
        <w:t>„Sieg in der Niederlage – Polen im Ersten Weltkrieg: Die Wiedergeburt eines Staates“, Deutschlandfunk, 23.08.2014, von Robert Baag</w:t>
      </w:r>
      <w:r w:rsidR="003A097E">
        <w:rPr>
          <w:rFonts w:cs="Arial"/>
          <w:sz w:val="22"/>
        </w:rPr>
        <w:br/>
        <w:t>Manuskript</w:t>
      </w:r>
      <w:r w:rsidRPr="002B0990">
        <w:rPr>
          <w:rFonts w:cs="Arial"/>
          <w:sz w:val="22"/>
        </w:rPr>
        <w:t xml:space="preserve">: </w:t>
      </w:r>
      <w:hyperlink r:id="rId16" w:history="1">
        <w:r w:rsidR="003E2E29" w:rsidRPr="003E7EF5">
          <w:rPr>
            <w:rStyle w:val="Hyperlink"/>
            <w:rFonts w:cs="Arial"/>
            <w:sz w:val="22"/>
          </w:rPr>
          <w:t>http://www.deutschlandfunk.de/sieg-in-der-niederlage-polen-im-ersten-weltkrieg-die.media.5165e07a6cec08097d93e7b5b5531b02.pdf</w:t>
        </w:r>
      </w:hyperlink>
      <w:r w:rsidR="003E2E29">
        <w:rPr>
          <w:rFonts w:cs="Arial"/>
          <w:sz w:val="22"/>
        </w:rPr>
        <w:t xml:space="preserve"> </w:t>
      </w:r>
      <w:r w:rsidRPr="002B0990">
        <w:rPr>
          <w:rFonts w:cs="Arial"/>
          <w:sz w:val="22"/>
        </w:rPr>
        <w:t xml:space="preserve"> </w:t>
      </w:r>
    </w:p>
    <w:p w:rsidR="004832FF" w:rsidRPr="002B0990" w:rsidRDefault="004832FF" w:rsidP="003A097E">
      <w:pPr>
        <w:pStyle w:val="1Standardflietext"/>
        <w:spacing w:after="240"/>
        <w:rPr>
          <w:rFonts w:cs="Arial"/>
        </w:rPr>
      </w:pPr>
      <w:r w:rsidRPr="002B0990">
        <w:rPr>
          <w:rFonts w:cs="Arial"/>
        </w:rPr>
        <w:t>„Der Erste Weltkrieg in der internationalen Erinnerung“, bpb</w:t>
      </w:r>
      <w:r w:rsidR="00F5482F" w:rsidRPr="002B0990">
        <w:rPr>
          <w:rFonts w:cs="Arial"/>
        </w:rPr>
        <w:t xml:space="preserve">, 10.04.2014, von </w:t>
      </w:r>
      <w:r w:rsidRPr="002B0990">
        <w:rPr>
          <w:rFonts w:cs="Arial"/>
        </w:rPr>
        <w:t>Martin Bayer</w:t>
      </w:r>
      <w:r w:rsidR="003A097E">
        <w:rPr>
          <w:rFonts w:cs="Arial"/>
        </w:rPr>
        <w:t xml:space="preserve"> </w:t>
      </w:r>
      <w:hyperlink r:id="rId17" w:history="1">
        <w:r w:rsidR="003E2E29" w:rsidRPr="003E7EF5">
          <w:rPr>
            <w:rStyle w:val="Hyperlink"/>
            <w:rFonts w:cs="Arial"/>
          </w:rPr>
          <w:t>http://www.bpb.de/apuz/182568/der-erste-weltkrieg-in-der-internationalen-erinnerung?p=all</w:t>
        </w:r>
      </w:hyperlink>
      <w:r w:rsidR="003E2E29">
        <w:rPr>
          <w:rFonts w:cs="Arial"/>
        </w:rPr>
        <w:t xml:space="preserve"> </w:t>
      </w:r>
      <w:r w:rsidR="00F5482F" w:rsidRPr="002B0990">
        <w:rPr>
          <w:rFonts w:cs="Arial"/>
        </w:rPr>
        <w:t xml:space="preserve"> </w:t>
      </w:r>
    </w:p>
    <w:p w:rsidR="007D4CAD" w:rsidRDefault="007D4CAD" w:rsidP="00835A4E">
      <w:pPr>
        <w:pStyle w:val="0berschrift3"/>
        <w:rPr>
          <w:rFonts w:cs="Arial"/>
        </w:rPr>
      </w:pPr>
    </w:p>
    <w:p w:rsidR="003A097E" w:rsidRDefault="003A097E" w:rsidP="003A097E">
      <w:pPr>
        <w:pStyle w:val="1Standardflietext"/>
      </w:pPr>
    </w:p>
    <w:p w:rsidR="003A097E" w:rsidRPr="003A097E" w:rsidRDefault="003A097E" w:rsidP="003A097E">
      <w:pPr>
        <w:pStyle w:val="1Standardflietext"/>
      </w:pPr>
    </w:p>
    <w:p w:rsidR="00835A4E" w:rsidRPr="002B0990" w:rsidRDefault="00835A4E" w:rsidP="003A097E">
      <w:pPr>
        <w:pStyle w:val="0berschrift3"/>
        <w:spacing w:after="240"/>
        <w:rPr>
          <w:rFonts w:cs="Arial"/>
        </w:rPr>
      </w:pPr>
      <w:r w:rsidRPr="002B0990">
        <w:rPr>
          <w:rFonts w:cs="Arial"/>
        </w:rPr>
        <w:lastRenderedPageBreak/>
        <w:t>Weiterführende Literatur</w:t>
      </w:r>
    </w:p>
    <w:p w:rsidR="00643AED" w:rsidRPr="002B0990" w:rsidRDefault="00643AED" w:rsidP="003A097E">
      <w:pPr>
        <w:pStyle w:val="1Standardflietext"/>
        <w:spacing w:after="240"/>
      </w:pPr>
      <w:r w:rsidRPr="002B0990">
        <w:t>Deutsche und Polen im und nach dem Ersten Weltkrieg. Beiträge der 2.</w:t>
      </w:r>
      <w:r w:rsidR="00D67454" w:rsidRPr="002B0990">
        <w:t xml:space="preserve"> Krobnitzer Gespräche vom 20. </w:t>
      </w:r>
      <w:r w:rsidRPr="002B0990">
        <w:t>Oktober</w:t>
      </w:r>
      <w:r w:rsidR="00D67454" w:rsidRPr="002B0990">
        <w:t> </w:t>
      </w:r>
      <w:r w:rsidRPr="002B0990">
        <w:t>2011 auf Schloss Krobnitz/Oberlausitz. Hsg. von Steffen Menzel und Martin</w:t>
      </w:r>
      <w:r w:rsidR="00886131" w:rsidRPr="002B0990">
        <w:t xml:space="preserve"> Munke. Chemnitz: Universitätsv</w:t>
      </w:r>
      <w:r w:rsidR="00D67454" w:rsidRPr="002B0990">
        <w:t>erlag 2013.</w:t>
      </w:r>
      <w:r w:rsidR="003A097E">
        <w:br/>
      </w:r>
      <w:hyperlink r:id="rId18" w:tgtFrame="_blank" w:history="1">
        <w:r w:rsidRPr="002B0990">
          <w:rPr>
            <w:rStyle w:val="Hyperlink"/>
            <w:color w:val="auto"/>
          </w:rPr>
          <w:t>Inhaltsverzeichn</w:t>
        </w:r>
        <w:r w:rsidRPr="002B0990">
          <w:rPr>
            <w:rStyle w:val="Hyperlink"/>
            <w:color w:val="auto"/>
          </w:rPr>
          <w:t>i</w:t>
        </w:r>
        <w:r w:rsidRPr="002B0990">
          <w:rPr>
            <w:rStyle w:val="Hyperlink"/>
            <w:color w:val="auto"/>
          </w:rPr>
          <w:t>s</w:t>
        </w:r>
      </w:hyperlink>
    </w:p>
    <w:p w:rsidR="00877367" w:rsidRPr="002B0990" w:rsidRDefault="00877367" w:rsidP="003A097E">
      <w:pPr>
        <w:pStyle w:val="1Standardflietext"/>
        <w:spacing w:after="240"/>
      </w:pPr>
      <w:r w:rsidRPr="002B0990">
        <w:t>Freiwald, Helmut: Alter Feind — neuer Freund? Zur Zäsur der deutschen Polenpolitik 1934/1935. In: Aufbruch und Krise. Das östliche Europa und die Deutschen nach dem Ersten Weltkri</w:t>
      </w:r>
      <w:r w:rsidR="00886131" w:rsidRPr="002B0990">
        <w:t xml:space="preserve">eg. Hrsg. von Beate Störtkuhl, </w:t>
      </w:r>
      <w:r w:rsidRPr="002B0990">
        <w:t>Jens Stüben und Tobias Weger, Oldenburg</w:t>
      </w:r>
      <w:r w:rsidR="007D4CAD" w:rsidRPr="002B0990">
        <w:t xml:space="preserve"> 2010, S. 113</w:t>
      </w:r>
      <w:r w:rsidR="00D67454" w:rsidRPr="002B0990">
        <w:rPr>
          <w:rFonts w:cs="Arial"/>
        </w:rPr>
        <w:t>-</w:t>
      </w:r>
      <w:r w:rsidRPr="002B0990">
        <w:t>127.</w:t>
      </w:r>
    </w:p>
    <w:p w:rsidR="00887C54" w:rsidRPr="002B0990" w:rsidRDefault="00887C54" w:rsidP="003A097E">
      <w:pPr>
        <w:pStyle w:val="1Standardflietext"/>
        <w:spacing w:after="240"/>
        <w:rPr>
          <w:rFonts w:cs="Arial"/>
        </w:rPr>
      </w:pPr>
      <w:r w:rsidRPr="002B0990">
        <w:rPr>
          <w:rFonts w:cs="Arial"/>
        </w:rPr>
        <w:t>Holzer, Jerzy: 1918. Das Ende des Ersten Weltkrieges, Deutschlands Zusammenbruch und die erste Wiederherstellung des</w:t>
      </w:r>
      <w:r w:rsidR="00CC517B" w:rsidRPr="002B0990">
        <w:rPr>
          <w:rFonts w:cs="Arial"/>
        </w:rPr>
        <w:t xml:space="preserve"> </w:t>
      </w:r>
      <w:r w:rsidRPr="002B0990">
        <w:rPr>
          <w:rFonts w:cs="Arial"/>
        </w:rPr>
        <w:t>polnischen Staates. In: Nordost-Archiv. Zeitschrift für Regionalgeschichte. Wendepunkte der</w:t>
      </w:r>
      <w:r w:rsidR="00CC517B" w:rsidRPr="002B0990">
        <w:rPr>
          <w:rFonts w:cs="Arial"/>
        </w:rPr>
        <w:t xml:space="preserve"> deutsch-polnischen Beziehungen </w:t>
      </w:r>
      <w:r w:rsidRPr="002B0990">
        <w:rPr>
          <w:rFonts w:cs="Arial"/>
        </w:rPr>
        <w:t>im 20. Jahrhundert: 1918 – 1939 – 1945 – 1990. Neue Folge. Bd. II /1993. H. 1. Lüneburg 1993, S. 7</w:t>
      </w:r>
      <w:r w:rsidR="00D67454" w:rsidRPr="002B0990">
        <w:rPr>
          <w:rFonts w:cs="Arial"/>
        </w:rPr>
        <w:t>-</w:t>
      </w:r>
      <w:r w:rsidRPr="002B0990">
        <w:rPr>
          <w:rFonts w:cs="Arial"/>
        </w:rPr>
        <w:t>18.</w:t>
      </w:r>
    </w:p>
    <w:p w:rsidR="00887C54" w:rsidRPr="002B0990" w:rsidRDefault="00887C54" w:rsidP="003A097E">
      <w:pPr>
        <w:pStyle w:val="1Standardflietext"/>
        <w:spacing w:after="240"/>
        <w:rPr>
          <w:rFonts w:cs="Arial"/>
        </w:rPr>
      </w:pPr>
      <w:r w:rsidRPr="002B0990">
        <w:rPr>
          <w:rFonts w:cs="Arial"/>
        </w:rPr>
        <w:t>Jaworski, Rudolf: Deutsch-polnische Feindbilder: 1919–1932. In: Internationale Sch</w:t>
      </w:r>
      <w:r w:rsidR="00CC517B" w:rsidRPr="002B0990">
        <w:rPr>
          <w:rFonts w:cs="Arial"/>
        </w:rPr>
        <w:t xml:space="preserve">ulbuchforschung 6 (1984) Nr. 2, </w:t>
      </w:r>
      <w:r w:rsidR="00D67454" w:rsidRPr="002B0990">
        <w:rPr>
          <w:rFonts w:cs="Arial"/>
        </w:rPr>
        <w:t>S. 140-</w:t>
      </w:r>
      <w:r w:rsidRPr="002B0990">
        <w:rPr>
          <w:rFonts w:cs="Arial"/>
        </w:rPr>
        <w:t>156.</w:t>
      </w:r>
    </w:p>
    <w:p w:rsidR="00887C54" w:rsidRPr="002B0990" w:rsidRDefault="00887C54" w:rsidP="003A097E">
      <w:pPr>
        <w:pStyle w:val="1Standardflietext"/>
        <w:spacing w:after="240"/>
        <w:rPr>
          <w:rFonts w:cs="Arial"/>
        </w:rPr>
      </w:pPr>
      <w:r w:rsidRPr="002B0990">
        <w:rPr>
          <w:rFonts w:cs="Arial"/>
        </w:rPr>
        <w:t>Jaworski, Rudolf; Wojciechowski, Marian: Deutsche und Polen zwischen den Kriegen. Minderhe</w:t>
      </w:r>
      <w:r w:rsidR="00CC517B" w:rsidRPr="002B0990">
        <w:rPr>
          <w:rFonts w:cs="Arial"/>
        </w:rPr>
        <w:t xml:space="preserve">itenstatus und </w:t>
      </w:r>
      <w:r w:rsidR="00DE660C" w:rsidRPr="002B0990">
        <w:rPr>
          <w:rFonts w:cs="Arial"/>
        </w:rPr>
        <w:t>„</w:t>
      </w:r>
      <w:r w:rsidR="00CC517B" w:rsidRPr="002B0990">
        <w:rPr>
          <w:rFonts w:cs="Arial"/>
        </w:rPr>
        <w:t>Volkstumskampf</w:t>
      </w:r>
      <w:r w:rsidR="00DE660C" w:rsidRPr="002B0990">
        <w:rPr>
          <w:rFonts w:cs="Arial"/>
        </w:rPr>
        <w:t>“</w:t>
      </w:r>
      <w:r w:rsidR="00CC517B" w:rsidRPr="002B0990">
        <w:rPr>
          <w:rFonts w:cs="Arial"/>
        </w:rPr>
        <w:t xml:space="preserve"> </w:t>
      </w:r>
      <w:r w:rsidRPr="002B0990">
        <w:rPr>
          <w:rFonts w:cs="Arial"/>
        </w:rPr>
        <w:t>im Grenzgebiet; amtliche Berichters</w:t>
      </w:r>
      <w:r w:rsidR="00D67454" w:rsidRPr="002B0990">
        <w:rPr>
          <w:rFonts w:cs="Arial"/>
        </w:rPr>
        <w:t>tattung aus beiden Ländern 1920-</w:t>
      </w:r>
      <w:r w:rsidRPr="002B0990">
        <w:rPr>
          <w:rFonts w:cs="Arial"/>
        </w:rPr>
        <w:t>1939. Im Auftr</w:t>
      </w:r>
      <w:r w:rsidR="00B65F79" w:rsidRPr="002B0990">
        <w:rPr>
          <w:rFonts w:cs="Arial"/>
        </w:rPr>
        <w:t>ag</w:t>
      </w:r>
      <w:r w:rsidRPr="002B0990">
        <w:rPr>
          <w:rFonts w:cs="Arial"/>
        </w:rPr>
        <w:t xml:space="preserve"> </w:t>
      </w:r>
      <w:r w:rsidR="00CC517B" w:rsidRPr="002B0990">
        <w:rPr>
          <w:rFonts w:cs="Arial"/>
        </w:rPr>
        <w:t xml:space="preserve">d. Instituts für Zeitgeschichte </w:t>
      </w:r>
      <w:r w:rsidRPr="002B0990">
        <w:rPr>
          <w:rFonts w:cs="Arial"/>
        </w:rPr>
        <w:t>und der Generaldirektion d. Polnischen Staatsarchive. Bearb. von Matthias Niendorf u.</w:t>
      </w:r>
      <w:r w:rsidR="00CC517B" w:rsidRPr="002B0990">
        <w:rPr>
          <w:rFonts w:cs="Arial"/>
        </w:rPr>
        <w:t xml:space="preserve"> Przemysław Hauser (= Texte und </w:t>
      </w:r>
      <w:r w:rsidRPr="002B0990">
        <w:rPr>
          <w:rFonts w:cs="Arial"/>
        </w:rPr>
        <w:t>Materialien zur Zeitgeschichte. Bd. 9/1+2). München: Saur 1997.</w:t>
      </w:r>
    </w:p>
    <w:p w:rsidR="00887C54" w:rsidRPr="002B0990" w:rsidRDefault="00887C54" w:rsidP="003A097E">
      <w:pPr>
        <w:pStyle w:val="1Standardflietext"/>
        <w:spacing w:after="240"/>
        <w:rPr>
          <w:rFonts w:cs="Arial"/>
        </w:rPr>
      </w:pPr>
      <w:r w:rsidRPr="002B0990">
        <w:rPr>
          <w:rFonts w:cs="Arial"/>
        </w:rPr>
        <w:t>Karski, Sigmund: Der Abstimmu</w:t>
      </w:r>
      <w:r w:rsidR="00D67454" w:rsidRPr="002B0990">
        <w:rPr>
          <w:rFonts w:cs="Arial"/>
        </w:rPr>
        <w:t>ngskampf in Oberschlesien 1920-</w:t>
      </w:r>
      <w:r w:rsidRPr="002B0990">
        <w:rPr>
          <w:rFonts w:cs="Arial"/>
        </w:rPr>
        <w:t>1921. In: Oberschlesische</w:t>
      </w:r>
      <w:r w:rsidR="00CC517B" w:rsidRPr="002B0990">
        <w:rPr>
          <w:rFonts w:cs="Arial"/>
        </w:rPr>
        <w:t xml:space="preserve">s Jahrbuch 1996. Bd. 12. Berlin </w:t>
      </w:r>
      <w:r w:rsidR="00D67454" w:rsidRPr="002B0990">
        <w:rPr>
          <w:rFonts w:cs="Arial"/>
        </w:rPr>
        <w:t>1997, S. 137-</w:t>
      </w:r>
      <w:r w:rsidRPr="002B0990">
        <w:rPr>
          <w:rFonts w:cs="Arial"/>
        </w:rPr>
        <w:t>162.</w:t>
      </w:r>
    </w:p>
    <w:p w:rsidR="007D4CAD" w:rsidRPr="002B0990" w:rsidRDefault="007D4CAD" w:rsidP="003A097E">
      <w:pPr>
        <w:pStyle w:val="1Standardflietext"/>
        <w:spacing w:after="240"/>
        <w:rPr>
          <w:rFonts w:cs="Arial"/>
        </w:rPr>
      </w:pPr>
      <w:r w:rsidRPr="002B0990">
        <w:rPr>
          <w:rFonts w:cs="Arial"/>
        </w:rPr>
        <w:t>Kneip, Matthias; Mack</w:t>
      </w:r>
      <w:r w:rsidR="00C90C02" w:rsidRPr="002B0990">
        <w:rPr>
          <w:rFonts w:cs="Arial"/>
        </w:rPr>
        <w:t>,</w:t>
      </w:r>
      <w:r w:rsidRPr="002B0990">
        <w:rPr>
          <w:rFonts w:cs="Arial"/>
        </w:rPr>
        <w:t xml:space="preserve"> Manfred: Deutschland und Polen nach dem Versailler Vertrag. In: Dies.: Polnische Geschichte und deutsch-polnische Beziehungen. Berlin: Cornelsen 2007, S. 58</w:t>
      </w:r>
      <w:r w:rsidR="003E1A75" w:rsidRPr="002B0990">
        <w:rPr>
          <w:rFonts w:cs="Arial"/>
        </w:rPr>
        <w:t>-</w:t>
      </w:r>
      <w:r w:rsidRPr="002B0990">
        <w:rPr>
          <w:rFonts w:cs="Arial"/>
        </w:rPr>
        <w:t>69.</w:t>
      </w:r>
    </w:p>
    <w:p w:rsidR="00422A03" w:rsidRPr="002B0990" w:rsidRDefault="00422A03" w:rsidP="003A097E">
      <w:pPr>
        <w:pStyle w:val="1Standardflietext"/>
        <w:spacing w:after="240"/>
        <w:rPr>
          <w:rFonts w:cs="Arial"/>
        </w:rPr>
      </w:pPr>
      <w:r w:rsidRPr="002B0990">
        <w:rPr>
          <w:rFonts w:cs="Arial"/>
        </w:rPr>
        <w:t>Kornat</w:t>
      </w:r>
      <w:r w:rsidR="00DE660C" w:rsidRPr="002B0990">
        <w:rPr>
          <w:rFonts w:cs="Arial"/>
        </w:rPr>
        <w:t>, Marek:</w:t>
      </w:r>
      <w:r w:rsidRPr="002B0990">
        <w:rPr>
          <w:rFonts w:cs="Arial"/>
        </w:rPr>
        <w:t xml:space="preserve"> Polen zwischen Hitler und Stalin. Studien zur polnischen Außenpolitik in der Zwischenkriegszeit. Aus dem Polnischen übersetzt von Bernard Wiaderny. Berlin</w:t>
      </w:r>
      <w:r w:rsidR="003E1A75" w:rsidRPr="002B0990">
        <w:rPr>
          <w:rFonts w:cs="Arial"/>
        </w:rPr>
        <w:t>: be.bra verlag</w:t>
      </w:r>
      <w:r w:rsidRPr="002B0990">
        <w:rPr>
          <w:rFonts w:cs="Arial"/>
        </w:rPr>
        <w:t xml:space="preserve"> 2012</w:t>
      </w:r>
      <w:r w:rsidR="00DE660C" w:rsidRPr="002B0990">
        <w:rPr>
          <w:rFonts w:cs="Arial"/>
        </w:rPr>
        <w:t>.</w:t>
      </w:r>
    </w:p>
    <w:p w:rsidR="00CC517B" w:rsidRPr="002B0990" w:rsidRDefault="00887C54" w:rsidP="003A097E">
      <w:pPr>
        <w:pStyle w:val="1Standardflietext"/>
        <w:spacing w:after="240"/>
        <w:rPr>
          <w:rFonts w:cs="Arial"/>
        </w:rPr>
      </w:pPr>
      <w:r w:rsidRPr="002B0990">
        <w:rPr>
          <w:rFonts w:cs="Arial"/>
        </w:rPr>
        <w:t>Lawaty, Andreas: 1918. Das Ende des Ersten Weltkrie</w:t>
      </w:r>
      <w:r w:rsidR="00CC517B" w:rsidRPr="002B0990">
        <w:rPr>
          <w:rFonts w:cs="Arial"/>
        </w:rPr>
        <w:t xml:space="preserve">ges, Deutschlands Zusammenbruch </w:t>
      </w:r>
      <w:r w:rsidRPr="002B0990">
        <w:rPr>
          <w:rFonts w:cs="Arial"/>
        </w:rPr>
        <w:t xml:space="preserve">und </w:t>
      </w:r>
      <w:r w:rsidR="00CC517B" w:rsidRPr="002B0990">
        <w:rPr>
          <w:rFonts w:cs="Arial"/>
        </w:rPr>
        <w:t xml:space="preserve">die erste Wiederherstellung des </w:t>
      </w:r>
      <w:r w:rsidRPr="002B0990">
        <w:rPr>
          <w:rFonts w:cs="Arial"/>
        </w:rPr>
        <w:t xml:space="preserve">polnischen Staates. In: </w:t>
      </w:r>
      <w:r w:rsidR="00CC517B" w:rsidRPr="002B0990">
        <w:rPr>
          <w:rFonts w:cs="Arial"/>
        </w:rPr>
        <w:t xml:space="preserve">Nordost-Archiv. Zeitschrift für </w:t>
      </w:r>
      <w:r w:rsidRPr="002B0990">
        <w:rPr>
          <w:rFonts w:cs="Arial"/>
        </w:rPr>
        <w:t>Regionalgeschichte. Wendepunkte der</w:t>
      </w:r>
      <w:r w:rsidR="00CC517B" w:rsidRPr="002B0990">
        <w:rPr>
          <w:rFonts w:cs="Arial"/>
        </w:rPr>
        <w:t xml:space="preserve"> deutsch-polnischen Beziehungen </w:t>
      </w:r>
      <w:r w:rsidRPr="002B0990">
        <w:rPr>
          <w:rFonts w:cs="Arial"/>
        </w:rPr>
        <w:t>im 20.</w:t>
      </w:r>
      <w:r w:rsidR="003E1A75" w:rsidRPr="002B0990">
        <w:rPr>
          <w:rFonts w:cs="Arial"/>
        </w:rPr>
        <w:t> </w:t>
      </w:r>
      <w:r w:rsidRPr="002B0990">
        <w:rPr>
          <w:rFonts w:cs="Arial"/>
        </w:rPr>
        <w:t>Jahrhundert: 1918 – 1939 – 1945 – 1990. Neue Folge. Bd. II / 1</w:t>
      </w:r>
      <w:r w:rsidR="003E1A75" w:rsidRPr="002B0990">
        <w:rPr>
          <w:rFonts w:cs="Arial"/>
        </w:rPr>
        <w:t>993. H. 1. Lüneburg 1993, S. 19-</w:t>
      </w:r>
      <w:r w:rsidRPr="002B0990">
        <w:rPr>
          <w:rFonts w:cs="Arial"/>
        </w:rPr>
        <w:t>34.</w:t>
      </w:r>
      <w:r w:rsidR="00CC517B" w:rsidRPr="002B0990">
        <w:rPr>
          <w:rFonts w:cs="Arial"/>
        </w:rPr>
        <w:t xml:space="preserve"> </w:t>
      </w:r>
    </w:p>
    <w:p w:rsidR="005711F5" w:rsidRPr="002B0990" w:rsidRDefault="005711F5" w:rsidP="003A097E">
      <w:pPr>
        <w:pStyle w:val="1Standardflietext"/>
        <w:spacing w:after="240"/>
        <w:rPr>
          <w:rStyle w:val="Hyperlink"/>
          <w:rFonts w:cs="Arial"/>
          <w:color w:val="auto"/>
        </w:rPr>
      </w:pPr>
      <w:r w:rsidRPr="002B0990">
        <w:rPr>
          <w:rFonts w:cs="Arial"/>
        </w:rPr>
        <w:t>Ruchniewicz, Krzysztof: Der „Große Krieg“ in Ostmitteleuropa. In: Hett, Felix; Krumm, Reinhard (Hrsg.): Geteilte Erinnerung. Der Erste Weltkrieg in Mittel- und Osteuropa, Perspektive, Friedrich-Ebert-Stiftung, Juli 2014, S. 6-8.</w:t>
      </w:r>
      <w:r w:rsidR="003A097E">
        <w:rPr>
          <w:rFonts w:cs="Arial"/>
        </w:rPr>
        <w:br/>
      </w:r>
      <w:r w:rsidR="00C655AA">
        <w:fldChar w:fldCharType="begin"/>
      </w:r>
      <w:r w:rsidR="003A097E">
        <w:instrText>HYPERLINK</w:instrText>
      </w:r>
      <w:bookmarkStart w:id="0" w:name="_GoBack"/>
      <w:bookmarkEnd w:id="0"/>
      <w:r w:rsidR="003A097E">
        <w:instrText xml:space="preserve"> "http://library.fes.de/pdf-files/id-moe/10874.pdf"</w:instrText>
      </w:r>
      <w:r w:rsidR="00C655AA">
        <w:fldChar w:fldCharType="separate"/>
      </w:r>
      <w:r w:rsidR="003E2E29" w:rsidRPr="003E7EF5">
        <w:rPr>
          <w:rStyle w:val="Hyperlink"/>
          <w:rFonts w:cs="Arial"/>
        </w:rPr>
        <w:t>http://library.fes.de/pdf-files/i</w:t>
      </w:r>
      <w:r w:rsidR="003E2E29" w:rsidRPr="003E7EF5">
        <w:rPr>
          <w:rStyle w:val="Hyperlink"/>
          <w:rFonts w:cs="Arial"/>
        </w:rPr>
        <w:t>d</w:t>
      </w:r>
      <w:r w:rsidR="003E2E29" w:rsidRPr="003E7EF5">
        <w:rPr>
          <w:rStyle w:val="Hyperlink"/>
          <w:rFonts w:cs="Arial"/>
        </w:rPr>
        <w:t>-moe/10874.pdf</w:t>
      </w:r>
      <w:r w:rsidR="00C655AA">
        <w:rPr>
          <w:rStyle w:val="Hyperlink"/>
          <w:rFonts w:cs="Arial"/>
        </w:rPr>
        <w:fldChar w:fldCharType="end"/>
      </w:r>
      <w:r w:rsidR="003E2E29">
        <w:rPr>
          <w:rFonts w:cs="Arial"/>
        </w:rPr>
        <w:t xml:space="preserve"> </w:t>
      </w:r>
    </w:p>
    <w:p w:rsidR="00886131" w:rsidRPr="002B0990" w:rsidRDefault="00886131" w:rsidP="003A097E">
      <w:pPr>
        <w:pStyle w:val="1Standardflietext"/>
        <w:spacing w:after="240"/>
        <w:rPr>
          <w:rFonts w:cs="Arial"/>
        </w:rPr>
      </w:pPr>
      <w:r w:rsidRPr="002B0990">
        <w:rPr>
          <w:rStyle w:val="Hyperlink"/>
          <w:rFonts w:cs="Arial"/>
          <w:color w:val="auto"/>
          <w:u w:val="none"/>
        </w:rPr>
        <w:t xml:space="preserve">Ruchniewicz, Krzysztof: Die Erinnerung an den Ersten Weltkrieg in polnischen und deutschen Lehrbüchern für den Geschichtsunterricht. In: Inter Finitimos. Jahrbuch zur deutsch-polnischen Beziehungsgeschichte 11 (2013/14) Hrsg. v. Basil Kerski u.a. </w:t>
      </w:r>
      <w:r w:rsidR="003E1A75" w:rsidRPr="002B0990">
        <w:rPr>
          <w:rStyle w:val="Hyperlink"/>
          <w:rFonts w:cs="Arial"/>
          <w:color w:val="auto"/>
          <w:u w:val="none"/>
        </w:rPr>
        <w:t>Osnabrück: fibre 2014,</w:t>
      </w:r>
      <w:r w:rsidRPr="002B0990">
        <w:rPr>
          <w:rStyle w:val="Hyperlink"/>
          <w:rFonts w:cs="Arial"/>
          <w:color w:val="auto"/>
          <w:u w:val="none"/>
        </w:rPr>
        <w:t xml:space="preserve"> S.51-63.</w:t>
      </w:r>
    </w:p>
    <w:p w:rsidR="00A71A01" w:rsidRPr="003C79AF" w:rsidRDefault="00887C54" w:rsidP="003A097E">
      <w:pPr>
        <w:pStyle w:val="1Standardflietext"/>
        <w:spacing w:after="240"/>
        <w:rPr>
          <w:rFonts w:cs="Arial"/>
          <w:i/>
          <w:sz w:val="24"/>
          <w:u w:val="single"/>
        </w:rPr>
      </w:pPr>
      <w:r w:rsidRPr="002B0990">
        <w:rPr>
          <w:rFonts w:cs="Arial"/>
        </w:rPr>
        <w:t>Winkler, Heinrich August: Im Schatten von Versailles. Das deutsch-polnische Verhältnis</w:t>
      </w:r>
      <w:r w:rsidR="00CC517B" w:rsidRPr="002B0990">
        <w:rPr>
          <w:rFonts w:cs="Arial"/>
        </w:rPr>
        <w:t xml:space="preserve"> während der Weimarer Republik. </w:t>
      </w:r>
      <w:r w:rsidRPr="002B0990">
        <w:rPr>
          <w:rFonts w:cs="Arial"/>
        </w:rPr>
        <w:t>In: Deutsche und Polen. Geschichte – Kultur – Politik. Hrsg. von Andreas Lawaty und Huber</w:t>
      </w:r>
      <w:r w:rsidR="00CC517B" w:rsidRPr="002B0990">
        <w:rPr>
          <w:rFonts w:cs="Arial"/>
        </w:rPr>
        <w:t xml:space="preserve">t Orłowski. Beck: München 2003, </w:t>
      </w:r>
      <w:r w:rsidR="003E1A75" w:rsidRPr="002B0990">
        <w:rPr>
          <w:rFonts w:cs="Arial"/>
        </w:rPr>
        <w:t>S. 60-</w:t>
      </w:r>
      <w:r w:rsidRPr="002B0990">
        <w:rPr>
          <w:rFonts w:cs="Arial"/>
        </w:rPr>
        <w:t>68.</w:t>
      </w:r>
    </w:p>
    <w:sectPr w:rsidR="00A71A01" w:rsidRPr="003C79AF" w:rsidSect="0003613B">
      <w:headerReference w:type="even" r:id="rId19"/>
      <w:headerReference w:type="default" r:id="rId20"/>
      <w:footerReference w:type="even" r:id="rId21"/>
      <w:footerReference w:type="default" r:id="rId2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AA" w:rsidRDefault="00C655AA">
      <w:r>
        <w:separator/>
      </w:r>
    </w:p>
    <w:p w:rsidR="00C655AA" w:rsidRDefault="00C655AA"/>
    <w:p w:rsidR="00C655AA" w:rsidRDefault="00C655AA"/>
    <w:p w:rsidR="00C655AA" w:rsidRDefault="00C655AA"/>
    <w:p w:rsidR="00C655AA" w:rsidRDefault="00C655AA"/>
    <w:p w:rsidR="00C655AA" w:rsidRDefault="00C655AA"/>
    <w:p w:rsidR="00C655AA" w:rsidRDefault="00C655AA"/>
    <w:p w:rsidR="00C655AA" w:rsidRDefault="00C655AA"/>
  </w:endnote>
  <w:endnote w:type="continuationSeparator" w:id="0">
    <w:p w:rsidR="00C655AA" w:rsidRDefault="00C655AA">
      <w:r>
        <w:continuationSeparator/>
      </w:r>
    </w:p>
    <w:p w:rsidR="00C655AA" w:rsidRDefault="00C655AA"/>
    <w:p w:rsidR="00C655AA" w:rsidRDefault="00C655AA"/>
    <w:p w:rsidR="00C655AA" w:rsidRDefault="00C655AA"/>
    <w:p w:rsidR="00C655AA" w:rsidRDefault="00C655AA"/>
    <w:p w:rsidR="00C655AA" w:rsidRDefault="00C655AA"/>
    <w:p w:rsidR="00C655AA" w:rsidRDefault="00C655AA"/>
    <w:p w:rsidR="00C655AA" w:rsidRDefault="00C6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B" w:rsidRDefault="0090281B" w:rsidP="00E44005">
    <w:r>
      <w:fldChar w:fldCharType="begin"/>
    </w:r>
    <w:r>
      <w:instrText xml:space="preserve">PAGE  </w:instrText>
    </w:r>
    <w:r>
      <w:fldChar w:fldCharType="separate"/>
    </w:r>
    <w:r>
      <w:rPr>
        <w:noProof/>
      </w:rPr>
      <w:t>5</w:t>
    </w:r>
    <w:r>
      <w:fldChar w:fldCharType="end"/>
    </w:r>
  </w:p>
  <w:p w:rsidR="0090281B" w:rsidRDefault="0090281B" w:rsidP="00E44005"/>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01"/>
      <w:gridCol w:w="6"/>
      <w:gridCol w:w="6"/>
    </w:tblGrid>
    <w:tr w:rsidR="0090281B" w:rsidTr="00D9640D">
      <w:trPr>
        <w:trHeight w:val="132"/>
      </w:trPr>
      <w:tc>
        <w:tcPr>
          <w:tcW w:w="1919" w:type="dxa"/>
        </w:tcPr>
        <w:tbl>
          <w:tblPr>
            <w:tblW w:w="9299" w:type="dxa"/>
            <w:tblInd w:w="2" w:type="dxa"/>
            <w:tblBorders>
              <w:top w:val="single" w:sz="4" w:space="0" w:color="auto"/>
            </w:tblBorders>
            <w:tblCellMar>
              <w:left w:w="0" w:type="dxa"/>
              <w:right w:w="0" w:type="dxa"/>
            </w:tblCellMar>
            <w:tblLook w:val="0000" w:firstRow="0" w:lastRow="0" w:firstColumn="0" w:lastColumn="0" w:noHBand="0" w:noVBand="0"/>
          </w:tblPr>
          <w:tblGrid>
            <w:gridCol w:w="1919"/>
            <w:gridCol w:w="4519"/>
            <w:gridCol w:w="2861"/>
          </w:tblGrid>
          <w:tr w:rsidR="0090281B" w:rsidTr="002F54A5">
            <w:trPr>
              <w:trHeight w:val="132"/>
            </w:trPr>
            <w:tc>
              <w:tcPr>
                <w:tcW w:w="1919" w:type="dxa"/>
                <w:tcBorders>
                  <w:top w:val="single" w:sz="4" w:space="0" w:color="auto"/>
                  <w:left w:val="nil"/>
                  <w:bottom w:val="nil"/>
                  <w:right w:val="nil"/>
                </w:tcBorders>
              </w:tcPr>
              <w:p w:rsidR="0090281B" w:rsidRDefault="0090281B" w:rsidP="002F54A5">
                <w:pPr>
                  <w:spacing w:after="0"/>
                  <w:rPr>
                    <w:rFonts w:ascii="Times New Roman" w:hAnsi="Times New Roman"/>
                    <w:noProof/>
                    <w:sz w:val="16"/>
                    <w:szCs w:val="16"/>
                  </w:rPr>
                </w:pPr>
              </w:p>
              <w:p w:rsidR="0090281B" w:rsidRDefault="0090281B" w:rsidP="002F54A5">
                <w:pPr>
                  <w:spacing w:after="0"/>
                  <w:rPr>
                    <w:rFonts w:ascii="Times New Roman" w:hAnsi="Times New Roman"/>
                    <w:sz w:val="16"/>
                    <w:szCs w:val="16"/>
                  </w:rPr>
                </w:pPr>
                <w:r>
                  <w:rPr>
                    <w:rFonts w:ascii="Times New Roman" w:hAnsi="Times New Roman"/>
                    <w:noProof/>
                    <w:sz w:val="16"/>
                    <w:szCs w:val="16"/>
                  </w:rPr>
                  <w:drawing>
                    <wp:inline distT="0" distB="0" distL="0" distR="0" wp14:anchorId="570BD6E0" wp14:editId="7C3F380C">
                      <wp:extent cx="942975" cy="323850"/>
                      <wp:effectExtent l="19050" t="0" r="9525"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srcRect/>
                              <a:stretch>
                                <a:fillRect/>
                              </a:stretch>
                            </pic:blipFill>
                            <pic:spPr bwMode="auto">
                              <a:xfrm>
                                <a:off x="0" y="0"/>
                                <a:ext cx="942975" cy="323850"/>
                              </a:xfrm>
                              <a:prstGeom prst="rect">
                                <a:avLst/>
                              </a:prstGeom>
                              <a:noFill/>
                              <a:ln w="9525">
                                <a:noFill/>
                                <a:miter lim="800000"/>
                                <a:headEnd/>
                                <a:tailEnd/>
                              </a:ln>
                            </pic:spPr>
                          </pic:pic>
                        </a:graphicData>
                      </a:graphic>
                    </wp:inline>
                  </w:drawing>
                </w:r>
              </w:p>
            </w:tc>
            <w:tc>
              <w:tcPr>
                <w:tcW w:w="4519" w:type="dxa"/>
                <w:tcBorders>
                  <w:top w:val="single" w:sz="4" w:space="0" w:color="auto"/>
                  <w:left w:val="nil"/>
                  <w:bottom w:val="nil"/>
                  <w:right w:val="nil"/>
                </w:tcBorders>
              </w:tcPr>
              <w:p w:rsidR="0090281B" w:rsidRDefault="0090281B" w:rsidP="002F54A5">
                <w:pPr>
                  <w:pStyle w:val="RahmenFuzeile"/>
                  <w:jc w:val="center"/>
                  <w:rPr>
                    <w:rFonts w:ascii="Times New Roman" w:hAnsi="Times New Roman"/>
                  </w:rPr>
                </w:pPr>
                <w:r>
                  <w:rPr>
                    <w:rFonts w:ascii="Times New Roman" w:hAnsi="Times New Roman"/>
                  </w:rPr>
                  <w:t>www.poleninderschule.de</w:t>
                </w:r>
              </w:p>
            </w:tc>
            <w:tc>
              <w:tcPr>
                <w:tcW w:w="2861" w:type="dxa"/>
                <w:tcBorders>
                  <w:top w:val="single" w:sz="4" w:space="0" w:color="auto"/>
                  <w:left w:val="nil"/>
                  <w:bottom w:val="nil"/>
                  <w:right w:val="nil"/>
                </w:tcBorders>
              </w:tcPr>
              <w:p w:rsidR="0090281B" w:rsidRDefault="0090281B" w:rsidP="002F54A5">
                <w:pPr>
                  <w:pStyle w:val="RahmenFuzeile"/>
                  <w:jc w:val="right"/>
                  <w:rPr>
                    <w:rFonts w:ascii="Times New Roman" w:hAnsi="Times New Roman"/>
                  </w:rPr>
                </w:pPr>
                <w:r>
                  <w:rPr>
                    <w:rFonts w:ascii="Times New Roman" w:hAnsi="Times New Roman"/>
                  </w:rPr>
                  <w:t xml:space="preserve">Seite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A097E">
                  <w:rPr>
                    <w:rFonts w:ascii="Times New Roman" w:hAnsi="Times New Roman"/>
                    <w:noProof/>
                  </w:rPr>
                  <w:t>4</w:t>
                </w:r>
                <w:r>
                  <w:rPr>
                    <w:rFonts w:ascii="Times New Roman" w:hAnsi="Times New Roman"/>
                  </w:rPr>
                  <w:fldChar w:fldCharType="end"/>
                </w:r>
                <w:r>
                  <w:rPr>
                    <w:rFonts w:ascii="Times New Roman" w:hAnsi="Times New Roman"/>
                  </w:rPr>
                  <w:t xml:space="preserve"> von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A097E">
                  <w:rPr>
                    <w:rFonts w:ascii="Times New Roman" w:hAnsi="Times New Roman"/>
                    <w:noProof/>
                  </w:rPr>
                  <w:t>4</w:t>
                </w:r>
                <w:r>
                  <w:rPr>
                    <w:rFonts w:ascii="Times New Roman" w:hAnsi="Times New Roman"/>
                  </w:rPr>
                  <w:fldChar w:fldCharType="end"/>
                </w:r>
                <w:r>
                  <w:rPr>
                    <w:rFonts w:ascii="Times New Roman" w:hAnsi="Times New Roman"/>
                  </w:rPr>
                  <w:br/>
                </w:r>
              </w:p>
            </w:tc>
          </w:tr>
        </w:tbl>
        <w:p w:rsidR="0090281B" w:rsidRPr="00D442D6" w:rsidRDefault="0090281B" w:rsidP="00383D1A">
          <w:pPr>
            <w:spacing w:after="0"/>
            <w:rPr>
              <w:rFonts w:ascii="Times New Roman" w:hAnsi="Times New Roman"/>
              <w:sz w:val="16"/>
              <w:szCs w:val="16"/>
            </w:rPr>
          </w:pPr>
        </w:p>
      </w:tc>
      <w:tc>
        <w:tcPr>
          <w:tcW w:w="4519" w:type="dxa"/>
        </w:tcPr>
        <w:p w:rsidR="0090281B" w:rsidRPr="00D442D6" w:rsidRDefault="0090281B" w:rsidP="00C67B21">
          <w:pPr>
            <w:pStyle w:val="RahmenFuzeile"/>
            <w:jc w:val="center"/>
            <w:rPr>
              <w:rFonts w:ascii="Times New Roman" w:hAnsi="Times New Roman"/>
              <w:szCs w:val="16"/>
            </w:rPr>
          </w:pPr>
        </w:p>
      </w:tc>
      <w:tc>
        <w:tcPr>
          <w:tcW w:w="2861" w:type="dxa"/>
        </w:tcPr>
        <w:p w:rsidR="0090281B" w:rsidRPr="00D442D6" w:rsidRDefault="0090281B"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AA" w:rsidRDefault="00C655AA">
      <w:r>
        <w:separator/>
      </w:r>
    </w:p>
    <w:p w:rsidR="00C655AA" w:rsidRDefault="00C655AA"/>
    <w:p w:rsidR="00C655AA" w:rsidRDefault="00C655AA"/>
    <w:p w:rsidR="00C655AA" w:rsidRDefault="00C655AA"/>
    <w:p w:rsidR="00C655AA" w:rsidRDefault="00C655AA"/>
    <w:p w:rsidR="00C655AA" w:rsidRDefault="00C655AA"/>
    <w:p w:rsidR="00C655AA" w:rsidRDefault="00C655AA"/>
    <w:p w:rsidR="00C655AA" w:rsidRDefault="00C655AA"/>
  </w:footnote>
  <w:footnote w:type="continuationSeparator" w:id="0">
    <w:p w:rsidR="00C655AA" w:rsidRDefault="00C655AA">
      <w:r>
        <w:continuationSeparator/>
      </w:r>
    </w:p>
    <w:p w:rsidR="00C655AA" w:rsidRDefault="00C655AA"/>
    <w:p w:rsidR="00C655AA" w:rsidRDefault="00C655AA"/>
    <w:p w:rsidR="00C655AA" w:rsidRDefault="00C655AA"/>
    <w:p w:rsidR="00C655AA" w:rsidRDefault="00C655AA"/>
    <w:p w:rsidR="00C655AA" w:rsidRDefault="00C655AA"/>
    <w:p w:rsidR="00C655AA" w:rsidRDefault="00C655AA"/>
    <w:p w:rsidR="00C655AA" w:rsidRDefault="00C655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B" w:rsidRDefault="0090281B">
    <w:pPr>
      <w:pStyle w:val="Kopfzeile"/>
    </w:pPr>
  </w:p>
  <w:p w:rsidR="0090281B" w:rsidRDefault="0090281B"/>
  <w:p w:rsidR="0090281B" w:rsidRDefault="0090281B"/>
  <w:p w:rsidR="0090281B" w:rsidRDefault="0090281B"/>
  <w:p w:rsidR="0090281B" w:rsidRDefault="0090281B"/>
  <w:p w:rsidR="0090281B" w:rsidRDefault="0090281B"/>
  <w:p w:rsidR="0090281B" w:rsidRDefault="0090281B"/>
  <w:p w:rsidR="0090281B" w:rsidRDefault="009028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0281B" w:rsidRPr="00FC4C21" w:rsidTr="0003613B">
      <w:trPr>
        <w:trHeight w:val="272"/>
      </w:trPr>
      <w:tc>
        <w:tcPr>
          <w:tcW w:w="6946" w:type="dxa"/>
        </w:tcPr>
        <w:p w:rsidR="0090281B" w:rsidRPr="00FC4C21" w:rsidRDefault="0090281B" w:rsidP="00650060">
          <w:pPr>
            <w:pStyle w:val="0berschrift4"/>
            <w:rPr>
              <w:sz w:val="20"/>
            </w:rPr>
          </w:pPr>
          <w:r w:rsidRPr="00FC4C21">
            <w:rPr>
              <w:noProof/>
              <w:sz w:val="20"/>
            </w:rPr>
            <mc:AlternateContent>
              <mc:Choice Requires="wps">
                <w:drawing>
                  <wp:anchor distT="0" distB="0" distL="114300" distR="114300" simplePos="0" relativeHeight="251657728" behindDoc="0" locked="0" layoutInCell="1" allowOverlap="1" wp14:anchorId="30A00A0A" wp14:editId="06ADDD34">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81B" w:rsidRDefault="0090281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0"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0281B" w:rsidRDefault="0090281B" w:rsidP="00EE4AFB">
                          <w:pPr>
                            <w:pStyle w:val="RahmenCopyrightvermerk"/>
                            <w:jc w:val="left"/>
                            <w:rPr>
                              <w:rFonts w:cs="Arial"/>
                            </w:rPr>
                          </w:pPr>
                        </w:p>
                      </w:txbxContent>
                    </v:textbox>
                    <w10:wrap anchorx="margin"/>
                  </v:shape>
                </w:pict>
              </mc:Fallback>
            </mc:AlternateContent>
          </w:r>
          <w:r>
            <w:rPr>
              <w:sz w:val="20"/>
            </w:rPr>
            <w:t>Deutschland und Polen nach dem Versailler Vertrag</w:t>
          </w:r>
        </w:p>
      </w:tc>
      <w:tc>
        <w:tcPr>
          <w:tcW w:w="2767" w:type="dxa"/>
          <w:gridSpan w:val="2"/>
        </w:tcPr>
        <w:p w:rsidR="0090281B" w:rsidRPr="00FC4C21" w:rsidRDefault="0090281B" w:rsidP="00FC4C21">
          <w:pPr>
            <w:pStyle w:val="0berschrift4"/>
            <w:jc w:val="center"/>
            <w:rPr>
              <w:sz w:val="20"/>
            </w:rPr>
          </w:pPr>
          <w:r w:rsidRPr="00FC4C21">
            <w:rPr>
              <w:b/>
              <w:sz w:val="20"/>
            </w:rPr>
            <w:t>Geschichte</w:t>
          </w:r>
          <w:r w:rsidRPr="00FC4C21">
            <w:rPr>
              <w:rStyle w:val="RahmenSymbol"/>
              <w:sz w:val="20"/>
            </w:rPr>
            <w:t></w:t>
          </w:r>
        </w:p>
      </w:tc>
    </w:tr>
    <w:tr w:rsidR="0090281B" w:rsidRPr="00FC4C21" w:rsidTr="0003613B">
      <w:trPr>
        <w:trHeight w:val="272"/>
      </w:trPr>
      <w:tc>
        <w:tcPr>
          <w:tcW w:w="8714" w:type="dxa"/>
          <w:gridSpan w:val="2"/>
        </w:tcPr>
        <w:p w:rsidR="0090281B" w:rsidRPr="00FC4C21" w:rsidRDefault="0090281B" w:rsidP="0003613B">
          <w:pPr>
            <w:pStyle w:val="1Standardflietext"/>
            <w:tabs>
              <w:tab w:val="left" w:pos="2100"/>
            </w:tabs>
            <w:spacing w:after="0"/>
            <w:rPr>
              <w:i/>
              <w:sz w:val="20"/>
            </w:rPr>
          </w:pPr>
          <w:r w:rsidRPr="00FC4C21">
            <w:rPr>
              <w:i/>
              <w:sz w:val="20"/>
            </w:rPr>
            <w:tab/>
          </w:r>
        </w:p>
      </w:tc>
      <w:tc>
        <w:tcPr>
          <w:tcW w:w="999" w:type="dxa"/>
        </w:tcPr>
        <w:p w:rsidR="0090281B" w:rsidRPr="00FC4C21" w:rsidRDefault="0090281B" w:rsidP="0003613B">
          <w:pPr>
            <w:pStyle w:val="RahmenKopfzeilerechts"/>
            <w:rPr>
              <w:rStyle w:val="RahmenKopfzeilerechtsZchnZchn"/>
              <w:i/>
              <w:sz w:val="20"/>
              <w:szCs w:val="20"/>
            </w:rPr>
          </w:pPr>
        </w:p>
      </w:tc>
    </w:tr>
  </w:tbl>
  <w:p w:rsidR="0090281B" w:rsidRPr="00FC4C21" w:rsidRDefault="0090281B" w:rsidP="002B4F3B">
    <w:pPr>
      <w:pStyle w:val="RahmenKopfzeileSubtitel"/>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CF7367"/>
    <w:multiLevelType w:val="hybridMultilevel"/>
    <w:tmpl w:val="5F604942"/>
    <w:lvl w:ilvl="0" w:tplc="E7F665A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E"/>
    <w:rsid w:val="000036D7"/>
    <w:rsid w:val="00006EFE"/>
    <w:rsid w:val="00010283"/>
    <w:rsid w:val="00012FD5"/>
    <w:rsid w:val="00023CF4"/>
    <w:rsid w:val="00025B8C"/>
    <w:rsid w:val="00026C0A"/>
    <w:rsid w:val="00026FB6"/>
    <w:rsid w:val="000270EA"/>
    <w:rsid w:val="00035908"/>
    <w:rsid w:val="0003613B"/>
    <w:rsid w:val="000370C4"/>
    <w:rsid w:val="00041780"/>
    <w:rsid w:val="00042E88"/>
    <w:rsid w:val="000434CE"/>
    <w:rsid w:val="000510C9"/>
    <w:rsid w:val="000525AE"/>
    <w:rsid w:val="000564E4"/>
    <w:rsid w:val="00061DF3"/>
    <w:rsid w:val="0006254E"/>
    <w:rsid w:val="00062CB1"/>
    <w:rsid w:val="00063791"/>
    <w:rsid w:val="0006600B"/>
    <w:rsid w:val="0006678C"/>
    <w:rsid w:val="00067F73"/>
    <w:rsid w:val="00070934"/>
    <w:rsid w:val="000720FC"/>
    <w:rsid w:val="00076C38"/>
    <w:rsid w:val="000819A0"/>
    <w:rsid w:val="000922CE"/>
    <w:rsid w:val="00092C6C"/>
    <w:rsid w:val="00096B03"/>
    <w:rsid w:val="000A21DE"/>
    <w:rsid w:val="000A6685"/>
    <w:rsid w:val="000C26CC"/>
    <w:rsid w:val="000C6C75"/>
    <w:rsid w:val="000D5CEC"/>
    <w:rsid w:val="000E0DE3"/>
    <w:rsid w:val="000E27EF"/>
    <w:rsid w:val="000E3D24"/>
    <w:rsid w:val="000E528E"/>
    <w:rsid w:val="000F2509"/>
    <w:rsid w:val="000F50A8"/>
    <w:rsid w:val="000F7CB4"/>
    <w:rsid w:val="00102B84"/>
    <w:rsid w:val="0010533B"/>
    <w:rsid w:val="001056AB"/>
    <w:rsid w:val="00107625"/>
    <w:rsid w:val="00114C43"/>
    <w:rsid w:val="00115604"/>
    <w:rsid w:val="00121293"/>
    <w:rsid w:val="00127484"/>
    <w:rsid w:val="00127FEC"/>
    <w:rsid w:val="00132531"/>
    <w:rsid w:val="00137907"/>
    <w:rsid w:val="0014005F"/>
    <w:rsid w:val="0014256E"/>
    <w:rsid w:val="0014421F"/>
    <w:rsid w:val="00144E39"/>
    <w:rsid w:val="00146FFD"/>
    <w:rsid w:val="0014714B"/>
    <w:rsid w:val="001506D1"/>
    <w:rsid w:val="00153785"/>
    <w:rsid w:val="00161CAE"/>
    <w:rsid w:val="001624A8"/>
    <w:rsid w:val="0016339B"/>
    <w:rsid w:val="0016430F"/>
    <w:rsid w:val="001674F1"/>
    <w:rsid w:val="00170023"/>
    <w:rsid w:val="00182CDD"/>
    <w:rsid w:val="00195BC8"/>
    <w:rsid w:val="0019678C"/>
    <w:rsid w:val="001B3E83"/>
    <w:rsid w:val="001B5670"/>
    <w:rsid w:val="001C54F5"/>
    <w:rsid w:val="001C70A0"/>
    <w:rsid w:val="001D59F6"/>
    <w:rsid w:val="001E07A0"/>
    <w:rsid w:val="001E1443"/>
    <w:rsid w:val="001E1C51"/>
    <w:rsid w:val="001E26DA"/>
    <w:rsid w:val="001E6769"/>
    <w:rsid w:val="001F1FE7"/>
    <w:rsid w:val="001F367B"/>
    <w:rsid w:val="001F59B2"/>
    <w:rsid w:val="001F70F2"/>
    <w:rsid w:val="002017E5"/>
    <w:rsid w:val="0021125B"/>
    <w:rsid w:val="00211E17"/>
    <w:rsid w:val="00213F0A"/>
    <w:rsid w:val="002143E3"/>
    <w:rsid w:val="00215422"/>
    <w:rsid w:val="00220F24"/>
    <w:rsid w:val="00231684"/>
    <w:rsid w:val="00231F30"/>
    <w:rsid w:val="00232F84"/>
    <w:rsid w:val="002369BD"/>
    <w:rsid w:val="0024218A"/>
    <w:rsid w:val="0024442C"/>
    <w:rsid w:val="00245AB4"/>
    <w:rsid w:val="00251BD7"/>
    <w:rsid w:val="00253B0C"/>
    <w:rsid w:val="00255097"/>
    <w:rsid w:val="002574F4"/>
    <w:rsid w:val="00257EB8"/>
    <w:rsid w:val="00261D70"/>
    <w:rsid w:val="00276128"/>
    <w:rsid w:val="00280069"/>
    <w:rsid w:val="00282D72"/>
    <w:rsid w:val="002833C2"/>
    <w:rsid w:val="002A3A65"/>
    <w:rsid w:val="002A4899"/>
    <w:rsid w:val="002B0990"/>
    <w:rsid w:val="002B0CBD"/>
    <w:rsid w:val="002B4F3B"/>
    <w:rsid w:val="002C3511"/>
    <w:rsid w:val="002C39D9"/>
    <w:rsid w:val="002C49C5"/>
    <w:rsid w:val="002D0731"/>
    <w:rsid w:val="002D1404"/>
    <w:rsid w:val="002D153E"/>
    <w:rsid w:val="002D48FF"/>
    <w:rsid w:val="002D5A9D"/>
    <w:rsid w:val="002D64E8"/>
    <w:rsid w:val="002D7662"/>
    <w:rsid w:val="002E2086"/>
    <w:rsid w:val="002E31E5"/>
    <w:rsid w:val="002E3CBA"/>
    <w:rsid w:val="002E531D"/>
    <w:rsid w:val="002F0267"/>
    <w:rsid w:val="002F0D3A"/>
    <w:rsid w:val="002F1406"/>
    <w:rsid w:val="002F54A5"/>
    <w:rsid w:val="00303CDA"/>
    <w:rsid w:val="00304729"/>
    <w:rsid w:val="00304D6E"/>
    <w:rsid w:val="00305CB9"/>
    <w:rsid w:val="00311278"/>
    <w:rsid w:val="003154FB"/>
    <w:rsid w:val="00324F76"/>
    <w:rsid w:val="00334BDA"/>
    <w:rsid w:val="00340C99"/>
    <w:rsid w:val="0034341F"/>
    <w:rsid w:val="00351D2F"/>
    <w:rsid w:val="003524B3"/>
    <w:rsid w:val="00352A61"/>
    <w:rsid w:val="00355522"/>
    <w:rsid w:val="00356A49"/>
    <w:rsid w:val="0036304A"/>
    <w:rsid w:val="00365669"/>
    <w:rsid w:val="00383D1A"/>
    <w:rsid w:val="00383FB9"/>
    <w:rsid w:val="00386141"/>
    <w:rsid w:val="00387FBF"/>
    <w:rsid w:val="003A090D"/>
    <w:rsid w:val="003A097E"/>
    <w:rsid w:val="003B2910"/>
    <w:rsid w:val="003B59DB"/>
    <w:rsid w:val="003B6172"/>
    <w:rsid w:val="003B638C"/>
    <w:rsid w:val="003B7477"/>
    <w:rsid w:val="003C036E"/>
    <w:rsid w:val="003C3A6F"/>
    <w:rsid w:val="003C5111"/>
    <w:rsid w:val="003C6B13"/>
    <w:rsid w:val="003C79AF"/>
    <w:rsid w:val="003D2756"/>
    <w:rsid w:val="003D363A"/>
    <w:rsid w:val="003D5D96"/>
    <w:rsid w:val="003D705F"/>
    <w:rsid w:val="003E1202"/>
    <w:rsid w:val="003E1A75"/>
    <w:rsid w:val="003E26FF"/>
    <w:rsid w:val="003E2862"/>
    <w:rsid w:val="003E29FB"/>
    <w:rsid w:val="003E2D0C"/>
    <w:rsid w:val="003E2E29"/>
    <w:rsid w:val="003E2E7F"/>
    <w:rsid w:val="003E4DD2"/>
    <w:rsid w:val="003E5059"/>
    <w:rsid w:val="003E5245"/>
    <w:rsid w:val="003F19DC"/>
    <w:rsid w:val="003F21D9"/>
    <w:rsid w:val="003F2BAA"/>
    <w:rsid w:val="003F2D0F"/>
    <w:rsid w:val="003F367E"/>
    <w:rsid w:val="003F3A8B"/>
    <w:rsid w:val="00402ED5"/>
    <w:rsid w:val="00403829"/>
    <w:rsid w:val="0041061A"/>
    <w:rsid w:val="00413E34"/>
    <w:rsid w:val="0042027D"/>
    <w:rsid w:val="0042038D"/>
    <w:rsid w:val="00421F52"/>
    <w:rsid w:val="00422A03"/>
    <w:rsid w:val="00423381"/>
    <w:rsid w:val="00425421"/>
    <w:rsid w:val="00425D85"/>
    <w:rsid w:val="00425DEE"/>
    <w:rsid w:val="00426C09"/>
    <w:rsid w:val="004346E1"/>
    <w:rsid w:val="0043659F"/>
    <w:rsid w:val="00441489"/>
    <w:rsid w:val="00442223"/>
    <w:rsid w:val="0044301C"/>
    <w:rsid w:val="004430C0"/>
    <w:rsid w:val="00445003"/>
    <w:rsid w:val="00445E73"/>
    <w:rsid w:val="00450A3A"/>
    <w:rsid w:val="00451292"/>
    <w:rsid w:val="00451CE2"/>
    <w:rsid w:val="00454670"/>
    <w:rsid w:val="00460316"/>
    <w:rsid w:val="004613CD"/>
    <w:rsid w:val="004624C4"/>
    <w:rsid w:val="00463801"/>
    <w:rsid w:val="00463984"/>
    <w:rsid w:val="00464BA1"/>
    <w:rsid w:val="00466BA5"/>
    <w:rsid w:val="00473918"/>
    <w:rsid w:val="00474204"/>
    <w:rsid w:val="00477C69"/>
    <w:rsid w:val="004832FF"/>
    <w:rsid w:val="00483EFD"/>
    <w:rsid w:val="00485666"/>
    <w:rsid w:val="00487F32"/>
    <w:rsid w:val="0049242E"/>
    <w:rsid w:val="00495876"/>
    <w:rsid w:val="00496EA9"/>
    <w:rsid w:val="004B02E4"/>
    <w:rsid w:val="004B07FD"/>
    <w:rsid w:val="004B2857"/>
    <w:rsid w:val="004B56B9"/>
    <w:rsid w:val="004B7716"/>
    <w:rsid w:val="004C6250"/>
    <w:rsid w:val="004D4E71"/>
    <w:rsid w:val="004E0620"/>
    <w:rsid w:val="004E7BDB"/>
    <w:rsid w:val="004F1735"/>
    <w:rsid w:val="004F1A91"/>
    <w:rsid w:val="004F2929"/>
    <w:rsid w:val="004F3FDF"/>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11F5"/>
    <w:rsid w:val="00581561"/>
    <w:rsid w:val="0058213D"/>
    <w:rsid w:val="00584554"/>
    <w:rsid w:val="00587FD4"/>
    <w:rsid w:val="0059450C"/>
    <w:rsid w:val="00595A31"/>
    <w:rsid w:val="00595CF9"/>
    <w:rsid w:val="00595E8F"/>
    <w:rsid w:val="005966FF"/>
    <w:rsid w:val="005A3093"/>
    <w:rsid w:val="005A4084"/>
    <w:rsid w:val="005B34B7"/>
    <w:rsid w:val="005B55B6"/>
    <w:rsid w:val="005B680F"/>
    <w:rsid w:val="005C3FBF"/>
    <w:rsid w:val="005C43B6"/>
    <w:rsid w:val="005C7FCC"/>
    <w:rsid w:val="005D06A9"/>
    <w:rsid w:val="005D07BC"/>
    <w:rsid w:val="005D12F6"/>
    <w:rsid w:val="005D1D7C"/>
    <w:rsid w:val="005D25BF"/>
    <w:rsid w:val="005E1DEF"/>
    <w:rsid w:val="005E2790"/>
    <w:rsid w:val="005E3001"/>
    <w:rsid w:val="005E345A"/>
    <w:rsid w:val="005E4D7D"/>
    <w:rsid w:val="005E7F16"/>
    <w:rsid w:val="005F0E25"/>
    <w:rsid w:val="005F6FCA"/>
    <w:rsid w:val="00600EEF"/>
    <w:rsid w:val="006127F1"/>
    <w:rsid w:val="006132E0"/>
    <w:rsid w:val="00614716"/>
    <w:rsid w:val="0061674C"/>
    <w:rsid w:val="00620DEC"/>
    <w:rsid w:val="00621AF2"/>
    <w:rsid w:val="006233F1"/>
    <w:rsid w:val="00623DF5"/>
    <w:rsid w:val="00623E24"/>
    <w:rsid w:val="0062499F"/>
    <w:rsid w:val="00626CF1"/>
    <w:rsid w:val="00636857"/>
    <w:rsid w:val="006409B0"/>
    <w:rsid w:val="00643AED"/>
    <w:rsid w:val="00645C86"/>
    <w:rsid w:val="00650060"/>
    <w:rsid w:val="00653220"/>
    <w:rsid w:val="006576C8"/>
    <w:rsid w:val="00657A78"/>
    <w:rsid w:val="00657B17"/>
    <w:rsid w:val="00662F5C"/>
    <w:rsid w:val="0066793F"/>
    <w:rsid w:val="00670EC9"/>
    <w:rsid w:val="00671796"/>
    <w:rsid w:val="00681B71"/>
    <w:rsid w:val="00685629"/>
    <w:rsid w:val="00687610"/>
    <w:rsid w:val="006902A7"/>
    <w:rsid w:val="00692596"/>
    <w:rsid w:val="006A572A"/>
    <w:rsid w:val="006A6EFC"/>
    <w:rsid w:val="006B0620"/>
    <w:rsid w:val="006B6676"/>
    <w:rsid w:val="006B7C96"/>
    <w:rsid w:val="006C04DE"/>
    <w:rsid w:val="006C43AA"/>
    <w:rsid w:val="006C78DB"/>
    <w:rsid w:val="006C7E1C"/>
    <w:rsid w:val="006D0F26"/>
    <w:rsid w:val="006D1C9C"/>
    <w:rsid w:val="006E2EA3"/>
    <w:rsid w:val="006E4E12"/>
    <w:rsid w:val="006F551D"/>
    <w:rsid w:val="0070215E"/>
    <w:rsid w:val="0070246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3E59"/>
    <w:rsid w:val="0076407F"/>
    <w:rsid w:val="00770A83"/>
    <w:rsid w:val="00770FD4"/>
    <w:rsid w:val="00781331"/>
    <w:rsid w:val="007840C2"/>
    <w:rsid w:val="007871BC"/>
    <w:rsid w:val="00791A7C"/>
    <w:rsid w:val="00793D4C"/>
    <w:rsid w:val="007951EC"/>
    <w:rsid w:val="00797021"/>
    <w:rsid w:val="007A0DF3"/>
    <w:rsid w:val="007A1DB6"/>
    <w:rsid w:val="007A293C"/>
    <w:rsid w:val="007A2F2F"/>
    <w:rsid w:val="007A5025"/>
    <w:rsid w:val="007C2BCF"/>
    <w:rsid w:val="007C73A7"/>
    <w:rsid w:val="007D10DF"/>
    <w:rsid w:val="007D2A43"/>
    <w:rsid w:val="007D4CAD"/>
    <w:rsid w:val="007D5F06"/>
    <w:rsid w:val="007D668D"/>
    <w:rsid w:val="007E0AEA"/>
    <w:rsid w:val="007E0F57"/>
    <w:rsid w:val="007F1386"/>
    <w:rsid w:val="007F14F4"/>
    <w:rsid w:val="007F1F44"/>
    <w:rsid w:val="007F211B"/>
    <w:rsid w:val="007F5A4A"/>
    <w:rsid w:val="008016A2"/>
    <w:rsid w:val="008059E8"/>
    <w:rsid w:val="00811365"/>
    <w:rsid w:val="00815DD0"/>
    <w:rsid w:val="00817D12"/>
    <w:rsid w:val="008228B5"/>
    <w:rsid w:val="008246EB"/>
    <w:rsid w:val="0082598C"/>
    <w:rsid w:val="00832E76"/>
    <w:rsid w:val="00835A4E"/>
    <w:rsid w:val="008373A4"/>
    <w:rsid w:val="008416B1"/>
    <w:rsid w:val="00842A0D"/>
    <w:rsid w:val="00842D71"/>
    <w:rsid w:val="00845A23"/>
    <w:rsid w:val="008524CA"/>
    <w:rsid w:val="008527A7"/>
    <w:rsid w:val="00856387"/>
    <w:rsid w:val="00863AE2"/>
    <w:rsid w:val="008647FF"/>
    <w:rsid w:val="0086596D"/>
    <w:rsid w:val="0087090A"/>
    <w:rsid w:val="008726D2"/>
    <w:rsid w:val="0087362D"/>
    <w:rsid w:val="00877367"/>
    <w:rsid w:val="008835DC"/>
    <w:rsid w:val="008849E7"/>
    <w:rsid w:val="00886131"/>
    <w:rsid w:val="00887A7D"/>
    <w:rsid w:val="00887C54"/>
    <w:rsid w:val="008A2DF7"/>
    <w:rsid w:val="008A2E2A"/>
    <w:rsid w:val="008B02A9"/>
    <w:rsid w:val="008B0642"/>
    <w:rsid w:val="008B0FA1"/>
    <w:rsid w:val="008B389E"/>
    <w:rsid w:val="008B769E"/>
    <w:rsid w:val="008C277C"/>
    <w:rsid w:val="008C31A1"/>
    <w:rsid w:val="008C34C5"/>
    <w:rsid w:val="008C77F4"/>
    <w:rsid w:val="008D08AA"/>
    <w:rsid w:val="008D3F4B"/>
    <w:rsid w:val="008D66C8"/>
    <w:rsid w:val="008F21AF"/>
    <w:rsid w:val="008F70EE"/>
    <w:rsid w:val="008F7926"/>
    <w:rsid w:val="0090281B"/>
    <w:rsid w:val="0090325E"/>
    <w:rsid w:val="009067D5"/>
    <w:rsid w:val="009129C1"/>
    <w:rsid w:val="00916304"/>
    <w:rsid w:val="00922FE0"/>
    <w:rsid w:val="009236D0"/>
    <w:rsid w:val="009252A9"/>
    <w:rsid w:val="009252B7"/>
    <w:rsid w:val="00932B3F"/>
    <w:rsid w:val="00933B6C"/>
    <w:rsid w:val="00933E16"/>
    <w:rsid w:val="00934AB7"/>
    <w:rsid w:val="0093529E"/>
    <w:rsid w:val="00935A77"/>
    <w:rsid w:val="009378BB"/>
    <w:rsid w:val="0094147E"/>
    <w:rsid w:val="00942872"/>
    <w:rsid w:val="00946B15"/>
    <w:rsid w:val="00947D43"/>
    <w:rsid w:val="00956EF2"/>
    <w:rsid w:val="00962939"/>
    <w:rsid w:val="00963518"/>
    <w:rsid w:val="00971E69"/>
    <w:rsid w:val="00971E9C"/>
    <w:rsid w:val="00981446"/>
    <w:rsid w:val="00982CDD"/>
    <w:rsid w:val="0098656D"/>
    <w:rsid w:val="00990706"/>
    <w:rsid w:val="0099163E"/>
    <w:rsid w:val="0099491D"/>
    <w:rsid w:val="0099654D"/>
    <w:rsid w:val="009A74FD"/>
    <w:rsid w:val="009B3134"/>
    <w:rsid w:val="009C2A3F"/>
    <w:rsid w:val="009C4B06"/>
    <w:rsid w:val="009C5612"/>
    <w:rsid w:val="009D799A"/>
    <w:rsid w:val="009F6231"/>
    <w:rsid w:val="00A00688"/>
    <w:rsid w:val="00A03E9F"/>
    <w:rsid w:val="00A119F8"/>
    <w:rsid w:val="00A134F7"/>
    <w:rsid w:val="00A137FE"/>
    <w:rsid w:val="00A14B73"/>
    <w:rsid w:val="00A206EF"/>
    <w:rsid w:val="00A211DC"/>
    <w:rsid w:val="00A238D8"/>
    <w:rsid w:val="00A2466F"/>
    <w:rsid w:val="00A323A3"/>
    <w:rsid w:val="00A353D8"/>
    <w:rsid w:val="00A36401"/>
    <w:rsid w:val="00A37CDA"/>
    <w:rsid w:val="00A47ED1"/>
    <w:rsid w:val="00A529A5"/>
    <w:rsid w:val="00A53B22"/>
    <w:rsid w:val="00A54729"/>
    <w:rsid w:val="00A62797"/>
    <w:rsid w:val="00A644E6"/>
    <w:rsid w:val="00A6623D"/>
    <w:rsid w:val="00A71A01"/>
    <w:rsid w:val="00A74B28"/>
    <w:rsid w:val="00A7798C"/>
    <w:rsid w:val="00A857FD"/>
    <w:rsid w:val="00A85CF5"/>
    <w:rsid w:val="00A8770A"/>
    <w:rsid w:val="00A90E52"/>
    <w:rsid w:val="00A90E9F"/>
    <w:rsid w:val="00A9197C"/>
    <w:rsid w:val="00A92DE0"/>
    <w:rsid w:val="00A971C7"/>
    <w:rsid w:val="00AA2221"/>
    <w:rsid w:val="00AA6038"/>
    <w:rsid w:val="00AA6B79"/>
    <w:rsid w:val="00AD66BF"/>
    <w:rsid w:val="00AD74AC"/>
    <w:rsid w:val="00AE4D7F"/>
    <w:rsid w:val="00AE6A78"/>
    <w:rsid w:val="00AF063F"/>
    <w:rsid w:val="00AF24A9"/>
    <w:rsid w:val="00AF5811"/>
    <w:rsid w:val="00AF7FCE"/>
    <w:rsid w:val="00B055ED"/>
    <w:rsid w:val="00B15216"/>
    <w:rsid w:val="00B15460"/>
    <w:rsid w:val="00B31DAE"/>
    <w:rsid w:val="00B37CAF"/>
    <w:rsid w:val="00B408ED"/>
    <w:rsid w:val="00B40C33"/>
    <w:rsid w:val="00B4144D"/>
    <w:rsid w:val="00B41E59"/>
    <w:rsid w:val="00B43C65"/>
    <w:rsid w:val="00B461A0"/>
    <w:rsid w:val="00B47511"/>
    <w:rsid w:val="00B53726"/>
    <w:rsid w:val="00B60BB9"/>
    <w:rsid w:val="00B642E2"/>
    <w:rsid w:val="00B64402"/>
    <w:rsid w:val="00B65F79"/>
    <w:rsid w:val="00B660BA"/>
    <w:rsid w:val="00B85A00"/>
    <w:rsid w:val="00B86B2C"/>
    <w:rsid w:val="00B9069C"/>
    <w:rsid w:val="00B916B5"/>
    <w:rsid w:val="00B92B5A"/>
    <w:rsid w:val="00B934B0"/>
    <w:rsid w:val="00BA1ED5"/>
    <w:rsid w:val="00BA22C2"/>
    <w:rsid w:val="00BA533E"/>
    <w:rsid w:val="00BA6BC1"/>
    <w:rsid w:val="00BA70CB"/>
    <w:rsid w:val="00BA7F97"/>
    <w:rsid w:val="00BB7E88"/>
    <w:rsid w:val="00BC30A2"/>
    <w:rsid w:val="00BC5692"/>
    <w:rsid w:val="00BD4A5A"/>
    <w:rsid w:val="00BD77C4"/>
    <w:rsid w:val="00BE46B3"/>
    <w:rsid w:val="00BE4C6A"/>
    <w:rsid w:val="00BE6C78"/>
    <w:rsid w:val="00BF18B1"/>
    <w:rsid w:val="00BF71E9"/>
    <w:rsid w:val="00C00B4E"/>
    <w:rsid w:val="00C02725"/>
    <w:rsid w:val="00C030FF"/>
    <w:rsid w:val="00C04AC4"/>
    <w:rsid w:val="00C06C7B"/>
    <w:rsid w:val="00C10AD7"/>
    <w:rsid w:val="00C204B5"/>
    <w:rsid w:val="00C27DC9"/>
    <w:rsid w:val="00C33D11"/>
    <w:rsid w:val="00C404F9"/>
    <w:rsid w:val="00C40996"/>
    <w:rsid w:val="00C40BEB"/>
    <w:rsid w:val="00C43B9E"/>
    <w:rsid w:val="00C45274"/>
    <w:rsid w:val="00C477F2"/>
    <w:rsid w:val="00C5487D"/>
    <w:rsid w:val="00C562DE"/>
    <w:rsid w:val="00C60511"/>
    <w:rsid w:val="00C6166A"/>
    <w:rsid w:val="00C655AA"/>
    <w:rsid w:val="00C67B21"/>
    <w:rsid w:val="00C71DFD"/>
    <w:rsid w:val="00C73F55"/>
    <w:rsid w:val="00C83EA2"/>
    <w:rsid w:val="00C84B50"/>
    <w:rsid w:val="00C8787E"/>
    <w:rsid w:val="00C87972"/>
    <w:rsid w:val="00C90C02"/>
    <w:rsid w:val="00C965A7"/>
    <w:rsid w:val="00CA0005"/>
    <w:rsid w:val="00CA1933"/>
    <w:rsid w:val="00CA2AB7"/>
    <w:rsid w:val="00CA2C7C"/>
    <w:rsid w:val="00CA5837"/>
    <w:rsid w:val="00CB40FC"/>
    <w:rsid w:val="00CB4729"/>
    <w:rsid w:val="00CC019D"/>
    <w:rsid w:val="00CC3FFC"/>
    <w:rsid w:val="00CC517B"/>
    <w:rsid w:val="00CC5FBE"/>
    <w:rsid w:val="00CC6969"/>
    <w:rsid w:val="00CD1001"/>
    <w:rsid w:val="00CD3EF6"/>
    <w:rsid w:val="00CD5F8B"/>
    <w:rsid w:val="00CE0B7A"/>
    <w:rsid w:val="00CE15F5"/>
    <w:rsid w:val="00CE1948"/>
    <w:rsid w:val="00CE1EAE"/>
    <w:rsid w:val="00CE3034"/>
    <w:rsid w:val="00CE39D8"/>
    <w:rsid w:val="00CF2DBE"/>
    <w:rsid w:val="00D030E9"/>
    <w:rsid w:val="00D0391B"/>
    <w:rsid w:val="00D0486D"/>
    <w:rsid w:val="00D05730"/>
    <w:rsid w:val="00D12F13"/>
    <w:rsid w:val="00D2266B"/>
    <w:rsid w:val="00D24CC8"/>
    <w:rsid w:val="00D4183D"/>
    <w:rsid w:val="00D442D6"/>
    <w:rsid w:val="00D44D16"/>
    <w:rsid w:val="00D538D1"/>
    <w:rsid w:val="00D5478E"/>
    <w:rsid w:val="00D54E85"/>
    <w:rsid w:val="00D64EE3"/>
    <w:rsid w:val="00D66C66"/>
    <w:rsid w:val="00D66E0E"/>
    <w:rsid w:val="00D67214"/>
    <w:rsid w:val="00D67454"/>
    <w:rsid w:val="00D71861"/>
    <w:rsid w:val="00D77235"/>
    <w:rsid w:val="00D814C9"/>
    <w:rsid w:val="00D81D11"/>
    <w:rsid w:val="00D8274D"/>
    <w:rsid w:val="00D8537F"/>
    <w:rsid w:val="00D877A5"/>
    <w:rsid w:val="00D92B2B"/>
    <w:rsid w:val="00D94327"/>
    <w:rsid w:val="00D94403"/>
    <w:rsid w:val="00D9640D"/>
    <w:rsid w:val="00D97509"/>
    <w:rsid w:val="00DB12AA"/>
    <w:rsid w:val="00DB24EB"/>
    <w:rsid w:val="00DB26D4"/>
    <w:rsid w:val="00DB3AEC"/>
    <w:rsid w:val="00DC3001"/>
    <w:rsid w:val="00DC3D01"/>
    <w:rsid w:val="00DD1B31"/>
    <w:rsid w:val="00DD3B31"/>
    <w:rsid w:val="00DE1DFB"/>
    <w:rsid w:val="00DE660C"/>
    <w:rsid w:val="00DE7CA4"/>
    <w:rsid w:val="00DE7FC9"/>
    <w:rsid w:val="00DF222A"/>
    <w:rsid w:val="00DF42A7"/>
    <w:rsid w:val="00E01A21"/>
    <w:rsid w:val="00E02328"/>
    <w:rsid w:val="00E023D1"/>
    <w:rsid w:val="00E111A5"/>
    <w:rsid w:val="00E15897"/>
    <w:rsid w:val="00E31945"/>
    <w:rsid w:val="00E31F9D"/>
    <w:rsid w:val="00E3413C"/>
    <w:rsid w:val="00E34EA8"/>
    <w:rsid w:val="00E35E04"/>
    <w:rsid w:val="00E3649D"/>
    <w:rsid w:val="00E3684A"/>
    <w:rsid w:val="00E377C8"/>
    <w:rsid w:val="00E4050F"/>
    <w:rsid w:val="00E44005"/>
    <w:rsid w:val="00E5065B"/>
    <w:rsid w:val="00E62873"/>
    <w:rsid w:val="00E720AD"/>
    <w:rsid w:val="00E72C84"/>
    <w:rsid w:val="00E771C7"/>
    <w:rsid w:val="00E8035B"/>
    <w:rsid w:val="00E96370"/>
    <w:rsid w:val="00E976F1"/>
    <w:rsid w:val="00EA2D1D"/>
    <w:rsid w:val="00EA7067"/>
    <w:rsid w:val="00EB5B97"/>
    <w:rsid w:val="00EC2805"/>
    <w:rsid w:val="00EC2A6E"/>
    <w:rsid w:val="00EC2ABE"/>
    <w:rsid w:val="00EC6126"/>
    <w:rsid w:val="00ED3765"/>
    <w:rsid w:val="00EE0441"/>
    <w:rsid w:val="00EE1668"/>
    <w:rsid w:val="00EE42D0"/>
    <w:rsid w:val="00EE4AFB"/>
    <w:rsid w:val="00EE58C3"/>
    <w:rsid w:val="00EF1810"/>
    <w:rsid w:val="00EF7798"/>
    <w:rsid w:val="00F00C39"/>
    <w:rsid w:val="00F05ADB"/>
    <w:rsid w:val="00F05F07"/>
    <w:rsid w:val="00F06460"/>
    <w:rsid w:val="00F17BD7"/>
    <w:rsid w:val="00F205F5"/>
    <w:rsid w:val="00F249C1"/>
    <w:rsid w:val="00F25174"/>
    <w:rsid w:val="00F2580A"/>
    <w:rsid w:val="00F27B0C"/>
    <w:rsid w:val="00F3227C"/>
    <w:rsid w:val="00F32ED3"/>
    <w:rsid w:val="00F4346E"/>
    <w:rsid w:val="00F5148D"/>
    <w:rsid w:val="00F533A9"/>
    <w:rsid w:val="00F5482F"/>
    <w:rsid w:val="00F55CFF"/>
    <w:rsid w:val="00F60DC7"/>
    <w:rsid w:val="00F6308A"/>
    <w:rsid w:val="00F662DB"/>
    <w:rsid w:val="00F70E96"/>
    <w:rsid w:val="00F801FA"/>
    <w:rsid w:val="00F8127B"/>
    <w:rsid w:val="00F86082"/>
    <w:rsid w:val="00F90B79"/>
    <w:rsid w:val="00F911EF"/>
    <w:rsid w:val="00F91703"/>
    <w:rsid w:val="00F9248B"/>
    <w:rsid w:val="00F9656F"/>
    <w:rsid w:val="00FA41C3"/>
    <w:rsid w:val="00FA50C2"/>
    <w:rsid w:val="00FA6B15"/>
    <w:rsid w:val="00FB09B7"/>
    <w:rsid w:val="00FB144C"/>
    <w:rsid w:val="00FB23BF"/>
    <w:rsid w:val="00FB54BC"/>
    <w:rsid w:val="00FB5BE8"/>
    <w:rsid w:val="00FB6A2A"/>
    <w:rsid w:val="00FB6AB2"/>
    <w:rsid w:val="00FC033E"/>
    <w:rsid w:val="00FC41F7"/>
    <w:rsid w:val="00FC4C21"/>
    <w:rsid w:val="00FC4E30"/>
    <w:rsid w:val="00FC6968"/>
    <w:rsid w:val="00FC71DC"/>
    <w:rsid w:val="00FD0935"/>
    <w:rsid w:val="00FD669C"/>
    <w:rsid w:val="00FD695E"/>
    <w:rsid w:val="00FD6DC3"/>
    <w:rsid w:val="00FD78C9"/>
    <w:rsid w:val="00FE6B69"/>
    <w:rsid w:val="00FF074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422A03"/>
    <w:pPr>
      <w:spacing w:before="100" w:beforeAutospacing="1" w:after="100" w:afterAutospacing="1" w:line="240" w:lineRule="auto"/>
    </w:pPr>
    <w:rPr>
      <w:rFonts w:ascii="Times New Roman" w:hAnsi="Times New Roman"/>
      <w:sz w:val="24"/>
    </w:rPr>
  </w:style>
  <w:style w:type="paragraph" w:customStyle="1" w:styleId="block">
    <w:name w:val="block"/>
    <w:basedOn w:val="Standard"/>
    <w:rsid w:val="001B5670"/>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835A4E"/>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uiPriority w:val="99"/>
    <w:qFormat/>
    <w:rsid w:val="00A7798C"/>
    <w:pPr>
      <w:spacing w:line="240" w:lineRule="exact"/>
    </w:pPr>
    <w:rPr>
      <w:sz w:val="22"/>
      <w:szCs w:val="20"/>
    </w:rPr>
  </w:style>
  <w:style w:type="character" w:customStyle="1" w:styleId="1StandardflietextZchnZchn">
    <w:name w:val="* 1 Standardfließtext Zchn Zchn"/>
    <w:link w:val="1Standardflietext"/>
    <w:rsid w:val="00A7798C"/>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uiPriority w:val="99"/>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uiPriority w:val="99"/>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422A03"/>
    <w:pPr>
      <w:spacing w:before="100" w:beforeAutospacing="1" w:after="100" w:afterAutospacing="1" w:line="240" w:lineRule="auto"/>
    </w:pPr>
    <w:rPr>
      <w:rFonts w:ascii="Times New Roman" w:hAnsi="Times New Roman"/>
      <w:sz w:val="24"/>
    </w:rPr>
  </w:style>
  <w:style w:type="paragraph" w:customStyle="1" w:styleId="block">
    <w:name w:val="block"/>
    <w:basedOn w:val="Standard"/>
    <w:rsid w:val="001B567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495">
      <w:bodyDiv w:val="1"/>
      <w:marLeft w:val="0"/>
      <w:marRight w:val="0"/>
      <w:marTop w:val="0"/>
      <w:marBottom w:val="0"/>
      <w:divBdr>
        <w:top w:val="none" w:sz="0" w:space="0" w:color="auto"/>
        <w:left w:val="none" w:sz="0" w:space="0" w:color="auto"/>
        <w:bottom w:val="none" w:sz="0" w:space="0" w:color="auto"/>
        <w:right w:val="none" w:sz="0" w:space="0" w:color="auto"/>
      </w:divBdr>
    </w:div>
    <w:div w:id="242184972">
      <w:bodyDiv w:val="1"/>
      <w:marLeft w:val="0"/>
      <w:marRight w:val="0"/>
      <w:marTop w:val="0"/>
      <w:marBottom w:val="0"/>
      <w:divBdr>
        <w:top w:val="none" w:sz="0" w:space="0" w:color="auto"/>
        <w:left w:val="none" w:sz="0" w:space="0" w:color="auto"/>
        <w:bottom w:val="none" w:sz="0" w:space="0" w:color="auto"/>
        <w:right w:val="none" w:sz="0" w:space="0" w:color="auto"/>
      </w:divBdr>
      <w:divsChild>
        <w:div w:id="962417360">
          <w:marLeft w:val="0"/>
          <w:marRight w:val="0"/>
          <w:marTop w:val="0"/>
          <w:marBottom w:val="0"/>
          <w:divBdr>
            <w:top w:val="none" w:sz="0" w:space="0" w:color="auto"/>
            <w:left w:val="none" w:sz="0" w:space="0" w:color="auto"/>
            <w:bottom w:val="none" w:sz="0" w:space="0" w:color="auto"/>
            <w:right w:val="none" w:sz="0" w:space="0" w:color="auto"/>
          </w:divBdr>
        </w:div>
      </w:divsChild>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652">
      <w:bodyDiv w:val="1"/>
      <w:marLeft w:val="0"/>
      <w:marRight w:val="0"/>
      <w:marTop w:val="0"/>
      <w:marBottom w:val="0"/>
      <w:divBdr>
        <w:top w:val="none" w:sz="0" w:space="0" w:color="auto"/>
        <w:left w:val="none" w:sz="0" w:space="0" w:color="auto"/>
        <w:bottom w:val="none" w:sz="0" w:space="0" w:color="auto"/>
        <w:right w:val="none" w:sz="0" w:space="0" w:color="auto"/>
      </w:divBdr>
    </w:div>
    <w:div w:id="561408214">
      <w:bodyDiv w:val="1"/>
      <w:marLeft w:val="0"/>
      <w:marRight w:val="0"/>
      <w:marTop w:val="0"/>
      <w:marBottom w:val="0"/>
      <w:divBdr>
        <w:top w:val="none" w:sz="0" w:space="0" w:color="auto"/>
        <w:left w:val="none" w:sz="0" w:space="0" w:color="auto"/>
        <w:bottom w:val="none" w:sz="0" w:space="0" w:color="auto"/>
        <w:right w:val="none" w:sz="0" w:space="0" w:color="auto"/>
      </w:divBdr>
      <w:divsChild>
        <w:div w:id="1033771388">
          <w:marLeft w:val="0"/>
          <w:marRight w:val="0"/>
          <w:marTop w:val="0"/>
          <w:marBottom w:val="0"/>
          <w:divBdr>
            <w:top w:val="none" w:sz="0" w:space="0" w:color="auto"/>
            <w:left w:val="none" w:sz="0" w:space="0" w:color="auto"/>
            <w:bottom w:val="none" w:sz="0" w:space="0" w:color="auto"/>
            <w:right w:val="none" w:sz="0" w:space="0" w:color="auto"/>
          </w:divBdr>
        </w:div>
        <w:div w:id="1223372242">
          <w:marLeft w:val="0"/>
          <w:marRight w:val="0"/>
          <w:marTop w:val="0"/>
          <w:marBottom w:val="0"/>
          <w:divBdr>
            <w:top w:val="none" w:sz="0" w:space="0" w:color="auto"/>
            <w:left w:val="none" w:sz="0" w:space="0" w:color="auto"/>
            <w:bottom w:val="none" w:sz="0" w:space="0" w:color="auto"/>
            <w:right w:val="none" w:sz="0" w:space="0" w:color="auto"/>
          </w:divBdr>
        </w:div>
        <w:div w:id="1834951229">
          <w:marLeft w:val="0"/>
          <w:marRight w:val="0"/>
          <w:marTop w:val="0"/>
          <w:marBottom w:val="0"/>
          <w:divBdr>
            <w:top w:val="none" w:sz="0" w:space="0" w:color="auto"/>
            <w:left w:val="none" w:sz="0" w:space="0" w:color="auto"/>
            <w:bottom w:val="none" w:sz="0" w:space="0" w:color="auto"/>
            <w:right w:val="none" w:sz="0" w:space="0" w:color="auto"/>
          </w:divBdr>
        </w:div>
      </w:divsChild>
    </w:div>
    <w:div w:id="623391584">
      <w:bodyDiv w:val="1"/>
      <w:marLeft w:val="0"/>
      <w:marRight w:val="0"/>
      <w:marTop w:val="0"/>
      <w:marBottom w:val="0"/>
      <w:divBdr>
        <w:top w:val="none" w:sz="0" w:space="0" w:color="auto"/>
        <w:left w:val="none" w:sz="0" w:space="0" w:color="auto"/>
        <w:bottom w:val="none" w:sz="0" w:space="0" w:color="auto"/>
        <w:right w:val="none" w:sz="0" w:space="0" w:color="auto"/>
      </w:divBdr>
    </w:div>
    <w:div w:id="829055063">
      <w:bodyDiv w:val="1"/>
      <w:marLeft w:val="0"/>
      <w:marRight w:val="0"/>
      <w:marTop w:val="0"/>
      <w:marBottom w:val="0"/>
      <w:divBdr>
        <w:top w:val="none" w:sz="0" w:space="0" w:color="auto"/>
        <w:left w:val="none" w:sz="0" w:space="0" w:color="auto"/>
        <w:bottom w:val="none" w:sz="0" w:space="0" w:color="auto"/>
        <w:right w:val="none" w:sz="0" w:space="0" w:color="auto"/>
      </w:divBdr>
      <w:divsChild>
        <w:div w:id="1775124916">
          <w:marLeft w:val="0"/>
          <w:marRight w:val="0"/>
          <w:marTop w:val="0"/>
          <w:marBottom w:val="0"/>
          <w:divBdr>
            <w:top w:val="none" w:sz="0" w:space="0" w:color="auto"/>
            <w:left w:val="none" w:sz="0" w:space="0" w:color="auto"/>
            <w:bottom w:val="none" w:sz="0" w:space="0" w:color="auto"/>
            <w:right w:val="none" w:sz="0" w:space="0" w:color="auto"/>
          </w:divBdr>
          <w:divsChild>
            <w:div w:id="1338923401">
              <w:marLeft w:val="0"/>
              <w:marRight w:val="0"/>
              <w:marTop w:val="0"/>
              <w:marBottom w:val="0"/>
              <w:divBdr>
                <w:top w:val="none" w:sz="0" w:space="0" w:color="auto"/>
                <w:left w:val="none" w:sz="0" w:space="0" w:color="auto"/>
                <w:bottom w:val="none" w:sz="0" w:space="0" w:color="auto"/>
                <w:right w:val="none" w:sz="0" w:space="0" w:color="auto"/>
              </w:divBdr>
            </w:div>
            <w:div w:id="146241590">
              <w:marLeft w:val="0"/>
              <w:marRight w:val="0"/>
              <w:marTop w:val="0"/>
              <w:marBottom w:val="0"/>
              <w:divBdr>
                <w:top w:val="none" w:sz="0" w:space="0" w:color="auto"/>
                <w:left w:val="none" w:sz="0" w:space="0" w:color="auto"/>
                <w:bottom w:val="none" w:sz="0" w:space="0" w:color="auto"/>
                <w:right w:val="none" w:sz="0" w:space="0" w:color="auto"/>
              </w:divBdr>
            </w:div>
            <w:div w:id="1521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8083">
      <w:bodyDiv w:val="1"/>
      <w:marLeft w:val="0"/>
      <w:marRight w:val="0"/>
      <w:marTop w:val="0"/>
      <w:marBottom w:val="0"/>
      <w:divBdr>
        <w:top w:val="none" w:sz="0" w:space="0" w:color="auto"/>
        <w:left w:val="none" w:sz="0" w:space="0" w:color="auto"/>
        <w:bottom w:val="none" w:sz="0" w:space="0" w:color="auto"/>
        <w:right w:val="none" w:sz="0" w:space="0" w:color="auto"/>
      </w:divBdr>
      <w:divsChild>
        <w:div w:id="1862086548">
          <w:marLeft w:val="0"/>
          <w:marRight w:val="0"/>
          <w:marTop w:val="0"/>
          <w:marBottom w:val="0"/>
          <w:divBdr>
            <w:top w:val="none" w:sz="0" w:space="0" w:color="auto"/>
            <w:left w:val="none" w:sz="0" w:space="0" w:color="auto"/>
            <w:bottom w:val="none" w:sz="0" w:space="0" w:color="auto"/>
            <w:right w:val="none" w:sz="0" w:space="0" w:color="auto"/>
          </w:divBdr>
          <w:divsChild>
            <w:div w:id="18846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976">
      <w:bodyDiv w:val="1"/>
      <w:marLeft w:val="0"/>
      <w:marRight w:val="0"/>
      <w:marTop w:val="0"/>
      <w:marBottom w:val="0"/>
      <w:divBdr>
        <w:top w:val="none" w:sz="0" w:space="0" w:color="auto"/>
        <w:left w:val="none" w:sz="0" w:space="0" w:color="auto"/>
        <w:bottom w:val="none" w:sz="0" w:space="0" w:color="auto"/>
        <w:right w:val="none" w:sz="0" w:space="0" w:color="auto"/>
      </w:divBdr>
      <w:divsChild>
        <w:div w:id="1346664319">
          <w:marLeft w:val="0"/>
          <w:marRight w:val="0"/>
          <w:marTop w:val="0"/>
          <w:marBottom w:val="0"/>
          <w:divBdr>
            <w:top w:val="none" w:sz="0" w:space="0" w:color="auto"/>
            <w:left w:val="none" w:sz="0" w:space="0" w:color="auto"/>
            <w:bottom w:val="none" w:sz="0" w:space="0" w:color="auto"/>
            <w:right w:val="none" w:sz="0" w:space="0" w:color="auto"/>
          </w:divBdr>
        </w:div>
        <w:div w:id="1611011690">
          <w:marLeft w:val="0"/>
          <w:marRight w:val="0"/>
          <w:marTop w:val="0"/>
          <w:marBottom w:val="0"/>
          <w:divBdr>
            <w:top w:val="none" w:sz="0" w:space="0" w:color="auto"/>
            <w:left w:val="none" w:sz="0" w:space="0" w:color="auto"/>
            <w:bottom w:val="none" w:sz="0" w:space="0" w:color="auto"/>
            <w:right w:val="none" w:sz="0" w:space="0" w:color="auto"/>
          </w:divBdr>
        </w:div>
        <w:div w:id="1863089172">
          <w:marLeft w:val="0"/>
          <w:marRight w:val="0"/>
          <w:marTop w:val="0"/>
          <w:marBottom w:val="0"/>
          <w:divBdr>
            <w:top w:val="none" w:sz="0" w:space="0" w:color="auto"/>
            <w:left w:val="none" w:sz="0" w:space="0" w:color="auto"/>
            <w:bottom w:val="none" w:sz="0" w:space="0" w:color="auto"/>
            <w:right w:val="none" w:sz="0" w:space="0" w:color="auto"/>
          </w:divBdr>
        </w:div>
        <w:div w:id="2074546497">
          <w:marLeft w:val="0"/>
          <w:marRight w:val="0"/>
          <w:marTop w:val="0"/>
          <w:marBottom w:val="0"/>
          <w:divBdr>
            <w:top w:val="none" w:sz="0" w:space="0" w:color="auto"/>
            <w:left w:val="none" w:sz="0" w:space="0" w:color="auto"/>
            <w:bottom w:val="none" w:sz="0" w:space="0" w:color="auto"/>
            <w:right w:val="none" w:sz="0" w:space="0" w:color="auto"/>
          </w:divBdr>
        </w:div>
      </w:divsChild>
    </w:div>
    <w:div w:id="1272780809">
      <w:bodyDiv w:val="1"/>
      <w:marLeft w:val="0"/>
      <w:marRight w:val="0"/>
      <w:marTop w:val="0"/>
      <w:marBottom w:val="0"/>
      <w:divBdr>
        <w:top w:val="none" w:sz="0" w:space="0" w:color="auto"/>
        <w:left w:val="none" w:sz="0" w:space="0" w:color="auto"/>
        <w:bottom w:val="none" w:sz="0" w:space="0" w:color="auto"/>
        <w:right w:val="none" w:sz="0" w:space="0" w:color="auto"/>
      </w:divBdr>
    </w:div>
    <w:div w:id="1321272888">
      <w:bodyDiv w:val="1"/>
      <w:marLeft w:val="0"/>
      <w:marRight w:val="0"/>
      <w:marTop w:val="0"/>
      <w:marBottom w:val="0"/>
      <w:divBdr>
        <w:top w:val="none" w:sz="0" w:space="0" w:color="auto"/>
        <w:left w:val="none" w:sz="0" w:space="0" w:color="auto"/>
        <w:bottom w:val="none" w:sz="0" w:space="0" w:color="auto"/>
        <w:right w:val="none" w:sz="0" w:space="0" w:color="auto"/>
      </w:divBdr>
      <w:divsChild>
        <w:div w:id="1812287992">
          <w:marLeft w:val="0"/>
          <w:marRight w:val="0"/>
          <w:marTop w:val="0"/>
          <w:marBottom w:val="0"/>
          <w:divBdr>
            <w:top w:val="none" w:sz="0" w:space="0" w:color="auto"/>
            <w:left w:val="none" w:sz="0" w:space="0" w:color="auto"/>
            <w:bottom w:val="none" w:sz="0" w:space="0" w:color="auto"/>
            <w:right w:val="none" w:sz="0" w:space="0" w:color="auto"/>
          </w:divBdr>
        </w:div>
        <w:div w:id="1203975474">
          <w:marLeft w:val="0"/>
          <w:marRight w:val="0"/>
          <w:marTop w:val="0"/>
          <w:marBottom w:val="0"/>
          <w:divBdr>
            <w:top w:val="none" w:sz="0" w:space="0" w:color="auto"/>
            <w:left w:val="none" w:sz="0" w:space="0" w:color="auto"/>
            <w:bottom w:val="none" w:sz="0" w:space="0" w:color="auto"/>
            <w:right w:val="none" w:sz="0" w:space="0" w:color="auto"/>
          </w:divBdr>
        </w:div>
      </w:divsChild>
    </w:div>
    <w:div w:id="1512834646">
      <w:bodyDiv w:val="1"/>
      <w:marLeft w:val="0"/>
      <w:marRight w:val="0"/>
      <w:marTop w:val="0"/>
      <w:marBottom w:val="0"/>
      <w:divBdr>
        <w:top w:val="none" w:sz="0" w:space="0" w:color="auto"/>
        <w:left w:val="none" w:sz="0" w:space="0" w:color="auto"/>
        <w:bottom w:val="none" w:sz="0" w:space="0" w:color="auto"/>
        <w:right w:val="none" w:sz="0" w:space="0" w:color="auto"/>
      </w:divBdr>
      <w:divsChild>
        <w:div w:id="621810685">
          <w:marLeft w:val="0"/>
          <w:marRight w:val="0"/>
          <w:marTop w:val="0"/>
          <w:marBottom w:val="0"/>
          <w:divBdr>
            <w:top w:val="none" w:sz="0" w:space="0" w:color="auto"/>
            <w:left w:val="none" w:sz="0" w:space="0" w:color="auto"/>
            <w:bottom w:val="none" w:sz="0" w:space="0" w:color="auto"/>
            <w:right w:val="none" w:sz="0" w:space="0" w:color="auto"/>
          </w:divBdr>
        </w:div>
      </w:divsChild>
    </w:div>
    <w:div w:id="1604147791">
      <w:bodyDiv w:val="1"/>
      <w:marLeft w:val="0"/>
      <w:marRight w:val="0"/>
      <w:marTop w:val="0"/>
      <w:marBottom w:val="0"/>
      <w:divBdr>
        <w:top w:val="none" w:sz="0" w:space="0" w:color="auto"/>
        <w:left w:val="none" w:sz="0" w:space="0" w:color="auto"/>
        <w:bottom w:val="none" w:sz="0" w:space="0" w:color="auto"/>
        <w:right w:val="none" w:sz="0" w:space="0" w:color="auto"/>
      </w:divBdr>
      <w:divsChild>
        <w:div w:id="466432706">
          <w:marLeft w:val="0"/>
          <w:marRight w:val="0"/>
          <w:marTop w:val="0"/>
          <w:marBottom w:val="0"/>
          <w:divBdr>
            <w:top w:val="none" w:sz="0" w:space="0" w:color="auto"/>
            <w:left w:val="none" w:sz="0" w:space="0" w:color="auto"/>
            <w:bottom w:val="none" w:sz="0" w:space="0" w:color="auto"/>
            <w:right w:val="none" w:sz="0" w:space="0" w:color="auto"/>
          </w:divBdr>
          <w:divsChild>
            <w:div w:id="6216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7514">
      <w:bodyDiv w:val="1"/>
      <w:marLeft w:val="0"/>
      <w:marRight w:val="0"/>
      <w:marTop w:val="0"/>
      <w:marBottom w:val="0"/>
      <w:divBdr>
        <w:top w:val="none" w:sz="0" w:space="0" w:color="auto"/>
        <w:left w:val="none" w:sz="0" w:space="0" w:color="auto"/>
        <w:bottom w:val="none" w:sz="0" w:space="0" w:color="auto"/>
        <w:right w:val="none" w:sz="0" w:space="0" w:color="auto"/>
      </w:divBdr>
      <w:divsChild>
        <w:div w:id="2053580204">
          <w:marLeft w:val="0"/>
          <w:marRight w:val="0"/>
          <w:marTop w:val="0"/>
          <w:marBottom w:val="0"/>
          <w:divBdr>
            <w:top w:val="none" w:sz="0" w:space="0" w:color="auto"/>
            <w:left w:val="none" w:sz="0" w:space="0" w:color="auto"/>
            <w:bottom w:val="none" w:sz="0" w:space="0" w:color="auto"/>
            <w:right w:val="none" w:sz="0" w:space="0" w:color="auto"/>
          </w:divBdr>
        </w:div>
        <w:div w:id="1542134898">
          <w:marLeft w:val="0"/>
          <w:marRight w:val="0"/>
          <w:marTop w:val="0"/>
          <w:marBottom w:val="0"/>
          <w:divBdr>
            <w:top w:val="none" w:sz="0" w:space="0" w:color="auto"/>
            <w:left w:val="none" w:sz="0" w:space="0" w:color="auto"/>
            <w:bottom w:val="none" w:sz="0" w:space="0" w:color="auto"/>
            <w:right w:val="none" w:sz="0" w:space="0" w:color="auto"/>
          </w:divBdr>
        </w:div>
      </w:divsChild>
    </w:div>
    <w:div w:id="1855415999">
      <w:bodyDiv w:val="1"/>
      <w:marLeft w:val="0"/>
      <w:marRight w:val="0"/>
      <w:marTop w:val="0"/>
      <w:marBottom w:val="0"/>
      <w:divBdr>
        <w:top w:val="none" w:sz="0" w:space="0" w:color="auto"/>
        <w:left w:val="none" w:sz="0" w:space="0" w:color="auto"/>
        <w:bottom w:val="none" w:sz="0" w:space="0" w:color="auto"/>
        <w:right w:val="none" w:sz="0" w:space="0" w:color="auto"/>
      </w:divBdr>
    </w:div>
    <w:div w:id="1925988434">
      <w:bodyDiv w:val="1"/>
      <w:marLeft w:val="0"/>
      <w:marRight w:val="0"/>
      <w:marTop w:val="0"/>
      <w:marBottom w:val="0"/>
      <w:divBdr>
        <w:top w:val="none" w:sz="0" w:space="0" w:color="auto"/>
        <w:left w:val="none" w:sz="0" w:space="0" w:color="auto"/>
        <w:bottom w:val="none" w:sz="0" w:space="0" w:color="auto"/>
        <w:right w:val="none" w:sz="0" w:space="0" w:color="auto"/>
      </w:divBdr>
    </w:div>
    <w:div w:id="1981227072">
      <w:bodyDiv w:val="1"/>
      <w:marLeft w:val="0"/>
      <w:marRight w:val="0"/>
      <w:marTop w:val="0"/>
      <w:marBottom w:val="0"/>
      <w:divBdr>
        <w:top w:val="none" w:sz="0" w:space="0" w:color="auto"/>
        <w:left w:val="none" w:sz="0" w:space="0" w:color="auto"/>
        <w:bottom w:val="none" w:sz="0" w:space="0" w:color="auto"/>
        <w:right w:val="none" w:sz="0" w:space="0" w:color="auto"/>
      </w:divBdr>
      <w:divsChild>
        <w:div w:id="1729255483">
          <w:marLeft w:val="0"/>
          <w:marRight w:val="0"/>
          <w:marTop w:val="0"/>
          <w:marBottom w:val="0"/>
          <w:divBdr>
            <w:top w:val="none" w:sz="0" w:space="0" w:color="auto"/>
            <w:left w:val="none" w:sz="0" w:space="0" w:color="auto"/>
            <w:bottom w:val="none" w:sz="0" w:space="0" w:color="auto"/>
            <w:right w:val="none" w:sz="0" w:space="0" w:color="auto"/>
          </w:divBdr>
        </w:div>
        <w:div w:id="152644197">
          <w:marLeft w:val="0"/>
          <w:marRight w:val="0"/>
          <w:marTop w:val="0"/>
          <w:marBottom w:val="0"/>
          <w:divBdr>
            <w:top w:val="none" w:sz="0" w:space="0" w:color="auto"/>
            <w:left w:val="none" w:sz="0" w:space="0" w:color="auto"/>
            <w:bottom w:val="none" w:sz="0" w:space="0" w:color="auto"/>
            <w:right w:val="none" w:sz="0" w:space="0" w:color="auto"/>
          </w:divBdr>
          <w:divsChild>
            <w:div w:id="20124822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z.net/aktuell/politik/die-gegenwart/der-erste-weltkrieg-der-fremde-krieg-13090610.html" TargetMode="External"/><Relationship Id="rId18" Type="http://schemas.openxmlformats.org/officeDocument/2006/relationships/hyperlink" Target="http://scans.hebis.de/HEBCGI/show.pl?33910386_toc.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erder-institut.de/no_cache/bestaende-digitale-angebote/e-publikationen/dokumente-und-materialien/themenmodule/modul/11/seite.html" TargetMode="External"/><Relationship Id="rId17" Type="http://schemas.openxmlformats.org/officeDocument/2006/relationships/hyperlink" Target="http://www.bpb.de/apuz/182568/der-erste-weltkrieg-in-der-internationalen-erinnerung?p=all" TargetMode="External"/><Relationship Id="rId2" Type="http://schemas.openxmlformats.org/officeDocument/2006/relationships/numbering" Target="numbering.xml"/><Relationship Id="rId16" Type="http://schemas.openxmlformats.org/officeDocument/2006/relationships/hyperlink" Target="http://www.deutschlandfunk.de/sieg-in-der-niederlage-polen-im-ersten-weltkrieg-die.media.5165e07a6cec08097d93e7b5b5531b0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dium.nzz.ch/event/19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utschlandfunk.de/100-jahre-erster-weltkrieg-wiedergeburt-des-polnischen.694.de.html?dram:article_id=282111" TargetMode="External"/><Relationship Id="rId23" Type="http://schemas.openxmlformats.org/officeDocument/2006/relationships/fontTable" Target="fontTable.xml"/><Relationship Id="rId10" Type="http://schemas.openxmlformats.org/officeDocument/2006/relationships/hyperlink" Target="http://www.deutscheundpolen.de/themen/thema_jsp/key=germanisierung_6.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zZSPXJ4HFEs" TargetMode="External"/><Relationship Id="rId14" Type="http://schemas.openxmlformats.org/officeDocument/2006/relationships/hyperlink" Target="http://brandenburg.rz.htw-berlin.de/polen_deutsch.htm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6960-D7D2-4EE3-93E9-3E9CB5DE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4</Pages>
  <Words>1307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9526</CharactersWithSpaces>
  <SharedDoc>false</SharedDoc>
  <HyperlinkBase>www.cornelsen.de/teachweb</HyperlinkBase>
  <HLinks>
    <vt:vector size="42" baseType="variant">
      <vt:variant>
        <vt:i4>6684790</vt:i4>
      </vt:variant>
      <vt:variant>
        <vt:i4>18</vt:i4>
      </vt:variant>
      <vt:variant>
        <vt:i4>0</vt:i4>
      </vt:variant>
      <vt:variant>
        <vt:i4>5</vt:i4>
      </vt:variant>
      <vt:variant>
        <vt:lpwstr>http://enominepatris.com/deutschtum/geschichte/hirtenbrief.htm</vt:lpwstr>
      </vt:variant>
      <vt:variant>
        <vt:lpwstr/>
      </vt:variant>
      <vt:variant>
        <vt:i4>7077978</vt:i4>
      </vt:variant>
      <vt:variant>
        <vt:i4>15</vt:i4>
      </vt:variant>
      <vt:variant>
        <vt:i4>0</vt:i4>
      </vt:variant>
      <vt:variant>
        <vt:i4>5</vt:i4>
      </vt:variant>
      <vt:variant>
        <vt:lpwstr>http://www.deutsche-und-polen.de/ereignisse/ereignis_jsp/key=ein_versoehnungszeichen_1965.html</vt:lpwstr>
      </vt:variant>
      <vt:variant>
        <vt:lpwstr/>
      </vt:variant>
      <vt:variant>
        <vt:i4>6815802</vt:i4>
      </vt:variant>
      <vt:variant>
        <vt:i4>12</vt:i4>
      </vt:variant>
      <vt:variant>
        <vt:i4>0</vt:i4>
      </vt:variant>
      <vt:variant>
        <vt:i4>5</vt:i4>
      </vt:variant>
      <vt:variant>
        <vt:lpwstr>http://www.bpb.de/politik/hintergrund-aktuell/68933/40-jahre-warschauer-vertrag-06-12-2010</vt:lpwstr>
      </vt:variant>
      <vt:variant>
        <vt:lpwstr/>
      </vt:variant>
      <vt:variant>
        <vt:i4>3539002</vt:i4>
      </vt:variant>
      <vt:variant>
        <vt:i4>9</vt:i4>
      </vt:variant>
      <vt:variant>
        <vt:i4>0</vt:i4>
      </vt:variant>
      <vt:variant>
        <vt:i4>5</vt:i4>
      </vt:variant>
      <vt:variant>
        <vt:lpwstr>http://www.verlag20.de/unterrichtsmaterial/1402</vt:lpwstr>
      </vt:variant>
      <vt:variant>
        <vt:lpwstr/>
      </vt:variant>
      <vt:variant>
        <vt:i4>2359341</vt:i4>
      </vt:variant>
      <vt:variant>
        <vt:i4>6</vt:i4>
      </vt:variant>
      <vt:variant>
        <vt:i4>0</vt:i4>
      </vt:variant>
      <vt:variant>
        <vt:i4>5</vt:i4>
      </vt:variant>
      <vt:variant>
        <vt:lpwstr>http://www.cornelsen.de/home/katalog/akd/1.c.1924536.de</vt:lpwstr>
      </vt:variant>
      <vt:variant>
        <vt:lpwstr/>
      </vt:variant>
      <vt:variant>
        <vt:i4>3407936</vt:i4>
      </vt:variant>
      <vt:variant>
        <vt:i4>3</vt:i4>
      </vt:variant>
      <vt:variant>
        <vt:i4>0</vt:i4>
      </vt:variant>
      <vt:variant>
        <vt:i4>5</vt:i4>
      </vt:variant>
      <vt:variant>
        <vt:lpwstr>http://www.youtube.com/watch?v=Tlt7a_wuqVw</vt:lpwstr>
      </vt:variant>
      <vt:variant>
        <vt:lpwstr/>
      </vt:variant>
      <vt:variant>
        <vt:i4>7733284</vt:i4>
      </vt:variant>
      <vt:variant>
        <vt:i4>0</vt:i4>
      </vt:variant>
      <vt:variant>
        <vt:i4>0</vt:i4>
      </vt:variant>
      <vt:variant>
        <vt:i4>5</vt:i4>
      </vt:variant>
      <vt:variant>
        <vt:lpwstr>http://www.youtube.com/watch?v=0jxrWqmHWBw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Dorothea Traupe</cp:lastModifiedBy>
  <cp:revision>2</cp:revision>
  <cp:lastPrinted>2015-04-02T07:40:00Z</cp:lastPrinted>
  <dcterms:created xsi:type="dcterms:W3CDTF">2017-11-15T11:45:00Z</dcterms:created>
  <dcterms:modified xsi:type="dcterms:W3CDTF">2017-11-15T11:45:00Z</dcterms:modified>
  <cp:category>Aktualitätendienst Politik</cp:category>
</cp:coreProperties>
</file>