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6A" w:rsidRPr="002B0990" w:rsidRDefault="00BE4C6A" w:rsidP="00BE4C6A">
      <w:pPr>
        <w:pStyle w:val="0berschrift2"/>
        <w:rPr>
          <w:rFonts w:cs="Arial"/>
          <w:i/>
          <w:sz w:val="24"/>
          <w:szCs w:val="24"/>
          <w:u w:val="none"/>
        </w:rPr>
      </w:pPr>
      <w:r w:rsidRPr="002B0990">
        <w:rPr>
          <w:rFonts w:cs="Arial"/>
          <w:i/>
          <w:sz w:val="24"/>
          <w:szCs w:val="24"/>
        </w:rPr>
        <w:t xml:space="preserve">Arbeitsblatt 2: </w:t>
      </w:r>
      <w:r w:rsidR="00F6308A" w:rsidRPr="002B0990">
        <w:rPr>
          <w:rFonts w:cs="Arial"/>
          <w:i/>
          <w:sz w:val="24"/>
          <w:szCs w:val="24"/>
        </w:rPr>
        <w:t>Deutschland und Polen nach 1918</w:t>
      </w:r>
    </w:p>
    <w:p w:rsidR="001B5670" w:rsidRPr="002B0990" w:rsidRDefault="00BE4C6A" w:rsidP="00CE1948">
      <w:pPr>
        <w:pStyle w:val="0berschrift1"/>
        <w:rPr>
          <w:rFonts w:cs="Arial"/>
        </w:rPr>
      </w:pPr>
      <w:r w:rsidRPr="002B0990">
        <w:rPr>
          <w:rFonts w:cs="Arial"/>
        </w:rPr>
        <w:t>Text 1</w:t>
      </w:r>
      <w:r w:rsidR="00CE1948" w:rsidRPr="002B0990">
        <w:rPr>
          <w:rFonts w:cs="Arial"/>
        </w:rPr>
        <w:t xml:space="preserve">: </w:t>
      </w:r>
      <w:r w:rsidR="001B5670" w:rsidRPr="002B0990">
        <w:rPr>
          <w:rFonts w:cs="Arial"/>
        </w:rPr>
        <w:t>Woodrow Wilsons 14-Punkte-Programm</w:t>
      </w:r>
    </w:p>
    <w:p w:rsidR="001B5670" w:rsidRPr="002B0990" w:rsidRDefault="001B5670" w:rsidP="001056AB">
      <w:pPr>
        <w:pStyle w:val="1Standardflietext"/>
        <w:jc w:val="both"/>
        <w:rPr>
          <w:rFonts w:cs="Arial"/>
          <w:i/>
        </w:rPr>
      </w:pPr>
      <w:r w:rsidRPr="002B0990">
        <w:rPr>
          <w:rFonts w:cs="Arial"/>
          <w:i/>
        </w:rPr>
        <w:t xml:space="preserve">Als </w:t>
      </w:r>
      <w:r w:rsidRPr="002B0990">
        <w:rPr>
          <w:rFonts w:cs="Arial"/>
          <w:b/>
          <w:bCs/>
          <w:i/>
        </w:rPr>
        <w:t>14-Punkte-Programm</w:t>
      </w:r>
      <w:r w:rsidRPr="002B0990">
        <w:rPr>
          <w:rFonts w:cs="Arial"/>
          <w:i/>
        </w:rPr>
        <w:t xml:space="preserve"> werden die Grundzüge einer Friedensordnung für das vom Ersten Weltkrieg erschütterte Europa bezeichnet, die Präsident Woodrow Wilson am 8.</w:t>
      </w:r>
      <w:r w:rsidR="00FD669C" w:rsidRPr="002B0990">
        <w:rPr>
          <w:rFonts w:cs="Arial"/>
          <w:i/>
        </w:rPr>
        <w:t> </w:t>
      </w:r>
      <w:r w:rsidRPr="002B0990">
        <w:rPr>
          <w:rFonts w:cs="Arial"/>
          <w:i/>
        </w:rPr>
        <w:t xml:space="preserve">Januar 1918 in einer programmatischen Rede vor beiden Häusern des US-Kongresses umriss. Punkt Nr. 13 lautete: </w:t>
      </w:r>
    </w:p>
    <w:p w:rsidR="001B5670" w:rsidRPr="002B0990" w:rsidRDefault="001B5670" w:rsidP="001056AB">
      <w:pPr>
        <w:pStyle w:val="1Standardflietext"/>
        <w:jc w:val="both"/>
        <w:rPr>
          <w:rFonts w:cs="Arial"/>
        </w:rPr>
      </w:pPr>
      <w:r w:rsidRPr="002B0990">
        <w:rPr>
          <w:rFonts w:cs="Arial"/>
        </w:rPr>
        <w:t>„Ein unabhängiger polnischer Staat sollte errichtet werden, der alle Gebiete einzubegreifen hätte, die von unbestritten polnischer Bevölkerung bewohnt sind; diesem Staat sollte ein freier und sicherer Zugang zur See geöffnet werden, und seine politische sowohl wie wirtschaftliche Unabhängigkeit sollte durch internationale Übereinkommen verbürgt werden.“</w:t>
      </w:r>
    </w:p>
    <w:p w:rsidR="00A71A01" w:rsidRPr="002B0990" w:rsidRDefault="00A71A01" w:rsidP="001056AB">
      <w:pPr>
        <w:pStyle w:val="1Standardflietext"/>
        <w:jc w:val="both"/>
        <w:rPr>
          <w:rFonts w:cs="Arial"/>
          <w:i/>
          <w:sz w:val="18"/>
          <w:szCs w:val="18"/>
        </w:rPr>
      </w:pPr>
      <w:r w:rsidRPr="002B0990">
        <w:rPr>
          <w:i/>
          <w:sz w:val="18"/>
          <w:szCs w:val="18"/>
        </w:rPr>
        <w:t>In Anlehnung an die deutsche Übersetzung vom Lebendigen virtuellen Museum Online des</w:t>
      </w:r>
      <w:r w:rsidR="00FD669C" w:rsidRPr="002B0990">
        <w:rPr>
          <w:i/>
          <w:sz w:val="18"/>
          <w:szCs w:val="18"/>
        </w:rPr>
        <w:t xml:space="preserve"> Deutschen Historischen Museums.</w:t>
      </w:r>
    </w:p>
    <w:p w:rsidR="00CE1948" w:rsidRPr="002B0990" w:rsidRDefault="00CE1948" w:rsidP="001056AB">
      <w:pPr>
        <w:pStyle w:val="1Standardflietext"/>
        <w:jc w:val="both"/>
        <w:rPr>
          <w:rFonts w:cs="Arial"/>
          <w:i/>
          <w:sz w:val="24"/>
          <w:u w:val="single"/>
        </w:rPr>
      </w:pPr>
    </w:p>
    <w:p w:rsidR="001B5670" w:rsidRPr="002B0990" w:rsidRDefault="00BE4C6A" w:rsidP="00CE1948">
      <w:pPr>
        <w:pStyle w:val="0berschrift1"/>
        <w:rPr>
          <w:rFonts w:cs="Arial"/>
        </w:rPr>
      </w:pPr>
      <w:r w:rsidRPr="002B0990">
        <w:rPr>
          <w:rFonts w:cs="Arial"/>
        </w:rPr>
        <w:t>Text 2</w:t>
      </w:r>
      <w:r w:rsidR="00CE1948" w:rsidRPr="002B0990">
        <w:rPr>
          <w:rFonts w:cs="Arial"/>
        </w:rPr>
        <w:t xml:space="preserve">: </w:t>
      </w:r>
      <w:r w:rsidR="001B5670" w:rsidRPr="002B0990">
        <w:rPr>
          <w:rFonts w:cs="Arial"/>
        </w:rPr>
        <w:t>Polen im Versailler Vertrag</w:t>
      </w:r>
    </w:p>
    <w:p w:rsidR="00BE4C6A" w:rsidRPr="002B0990" w:rsidRDefault="001B5670" w:rsidP="00BE4C6A">
      <w:pPr>
        <w:pStyle w:val="1Standardflietext"/>
        <w:rPr>
          <w:rFonts w:cs="Arial"/>
        </w:rPr>
      </w:pPr>
      <w:r w:rsidRPr="002B0990">
        <w:rPr>
          <w:rFonts w:cs="Arial"/>
        </w:rPr>
        <w:t xml:space="preserve">Abschnitt </w:t>
      </w:r>
      <w:bookmarkStart w:id="0" w:name="VIII"/>
      <w:r w:rsidRPr="002B0990">
        <w:rPr>
          <w:rFonts w:cs="Arial"/>
        </w:rPr>
        <w:t>VIII</w:t>
      </w:r>
      <w:bookmarkEnd w:id="0"/>
      <w:r w:rsidR="00BE4C6A" w:rsidRPr="002B0990">
        <w:rPr>
          <w:rFonts w:cs="Arial"/>
        </w:rPr>
        <w:t xml:space="preserve">. </w:t>
      </w:r>
      <w:r w:rsidRPr="002B0990">
        <w:rPr>
          <w:rFonts w:cs="Arial"/>
        </w:rPr>
        <w:t>Polen.</w:t>
      </w:r>
      <w:r w:rsidR="00BE4C6A" w:rsidRPr="002B0990">
        <w:rPr>
          <w:rFonts w:cs="Arial"/>
        </w:rPr>
        <w:t xml:space="preserve"> </w:t>
      </w:r>
    </w:p>
    <w:p w:rsidR="00BE4C6A" w:rsidRPr="002B0990" w:rsidRDefault="00BE4C6A" w:rsidP="007E0AEA">
      <w:pPr>
        <w:pStyle w:val="1Standardflietext"/>
        <w:jc w:val="both"/>
        <w:rPr>
          <w:rFonts w:cs="Arial"/>
        </w:rPr>
      </w:pPr>
    </w:p>
    <w:p w:rsidR="001B5670" w:rsidRPr="002B0990" w:rsidRDefault="001B5670" w:rsidP="007E0AEA">
      <w:pPr>
        <w:pStyle w:val="1Standardflietext"/>
        <w:jc w:val="both"/>
        <w:rPr>
          <w:rFonts w:cs="Arial"/>
        </w:rPr>
      </w:pPr>
      <w:r w:rsidRPr="002B0990">
        <w:rPr>
          <w:rFonts w:cs="Arial"/>
        </w:rPr>
        <w:t xml:space="preserve">Artikel </w:t>
      </w:r>
      <w:bookmarkStart w:id="1" w:name="87"/>
      <w:r w:rsidRPr="002B0990">
        <w:rPr>
          <w:rFonts w:cs="Arial"/>
        </w:rPr>
        <w:t>87</w:t>
      </w:r>
      <w:bookmarkEnd w:id="1"/>
      <w:r w:rsidRPr="002B0990">
        <w:rPr>
          <w:rFonts w:cs="Arial"/>
        </w:rPr>
        <w:t>.</w:t>
      </w:r>
    </w:p>
    <w:p w:rsidR="001B5670" w:rsidRPr="002B0990" w:rsidRDefault="001B5670" w:rsidP="007E0AEA">
      <w:pPr>
        <w:pStyle w:val="1Standardflietext"/>
        <w:jc w:val="both"/>
        <w:rPr>
          <w:rFonts w:cs="Arial"/>
        </w:rPr>
      </w:pPr>
      <w:r w:rsidRPr="002B0990">
        <w:rPr>
          <w:rFonts w:cs="Arial"/>
        </w:rPr>
        <w:t xml:space="preserve">  Deutschland erkennt, wie die alliierten und assoziierten Mächte es bereits getan haben, die völlige Unabhängigkeit Polens an und verzichtet zugunsten Polens auf alle Rechte und Ansprüche auf das Gebiet, das begrenzt wird durch die Ostsee, die Ostgrenze Deutschlands, wie sie im Artikel </w:t>
      </w:r>
      <w:hyperlink r:id="rId9" w:anchor="27" w:history="1">
        <w:r w:rsidRPr="002B0990">
          <w:rPr>
            <w:rStyle w:val="Hyperlink"/>
            <w:rFonts w:cs="Arial"/>
            <w:color w:val="auto"/>
          </w:rPr>
          <w:t>27</w:t>
        </w:r>
      </w:hyperlink>
      <w:r w:rsidRPr="002B0990">
        <w:rPr>
          <w:rFonts w:cs="Arial"/>
        </w:rPr>
        <w:t xml:space="preserve"> Teil </w:t>
      </w:r>
      <w:hyperlink r:id="rId10" w:history="1">
        <w:r w:rsidRPr="002B0990">
          <w:rPr>
            <w:rStyle w:val="Hyperlink"/>
            <w:rFonts w:cs="Arial"/>
            <w:color w:val="auto"/>
            <w:u w:val="none"/>
          </w:rPr>
          <w:t>II</w:t>
        </w:r>
      </w:hyperlink>
      <w:r w:rsidRPr="002B0990">
        <w:rPr>
          <w:rFonts w:cs="Arial"/>
        </w:rPr>
        <w:t xml:space="preserve"> (Deutschlands Grenzen) des gegenwärtigen Vertrags festgesetzt ist</w:t>
      </w:r>
      <w:r w:rsidR="00BE4C6A" w:rsidRPr="002B0990">
        <w:rPr>
          <w:rFonts w:cs="Arial"/>
        </w:rPr>
        <w:t xml:space="preserve"> […]</w:t>
      </w:r>
      <w:r w:rsidR="00EA7067" w:rsidRPr="002B0990">
        <w:rPr>
          <w:rFonts w:cs="Arial"/>
        </w:rPr>
        <w:tab/>
      </w:r>
      <w:r w:rsidRPr="002B0990">
        <w:rPr>
          <w:rFonts w:cs="Arial"/>
        </w:rPr>
        <w:br/>
        <w:t>  Soweit die Grenzen Polens in dem gegenwärtigen Vertrag nicht näher festgelegt sind, werden sie von den alliierten und assoziierten Hauptmächten später bestimmt.</w:t>
      </w:r>
      <w:r w:rsidR="00EA7067" w:rsidRPr="002B0990">
        <w:rPr>
          <w:rFonts w:cs="Arial"/>
        </w:rPr>
        <w:tab/>
      </w:r>
      <w:r w:rsidRPr="002B0990">
        <w:rPr>
          <w:rFonts w:cs="Arial"/>
        </w:rPr>
        <w:br/>
        <w:t>  Ein aus sieben Mitgli</w:t>
      </w:r>
      <w:r w:rsidR="00BE4C6A" w:rsidRPr="002B0990">
        <w:rPr>
          <w:rFonts w:cs="Arial"/>
        </w:rPr>
        <w:t>edern zusammengesetzter Ausschuss</w:t>
      </w:r>
      <w:r w:rsidRPr="002B0990">
        <w:rPr>
          <w:rFonts w:cs="Arial"/>
        </w:rPr>
        <w:t>, von denen fünf durch die alliierten und assoziierten Hauptmächte, eines von Deutschland und eines von Polen ernannt werden, tritt zwei Wochen nach Inkrafttreten des gegenwärtigen Vertrags zusammen, um an Ort und Stelle die Grenzen zwischen Polen und Deutschlan</w:t>
      </w:r>
      <w:r w:rsidR="00BE4C6A" w:rsidRPr="002B0990">
        <w:rPr>
          <w:rFonts w:cs="Arial"/>
        </w:rPr>
        <w:t>d festzulegen.</w:t>
      </w:r>
      <w:r w:rsidR="00EA7067" w:rsidRPr="002B0990">
        <w:rPr>
          <w:rFonts w:cs="Arial"/>
        </w:rPr>
        <w:tab/>
      </w:r>
      <w:r w:rsidR="00BE4C6A" w:rsidRPr="002B0990">
        <w:rPr>
          <w:rFonts w:cs="Arial"/>
        </w:rPr>
        <w:br/>
        <w:t>  Dieser Ausschuss</w:t>
      </w:r>
      <w:r w:rsidRPr="002B0990">
        <w:rPr>
          <w:rFonts w:cs="Arial"/>
        </w:rPr>
        <w:t xml:space="preserve"> entscheidet mit Stimmenmehrheit. Seine Entscheidungen sind für die Beteiligten bindend.</w:t>
      </w:r>
    </w:p>
    <w:p w:rsidR="00BE4C6A" w:rsidRPr="002B0990" w:rsidRDefault="00BE4C6A" w:rsidP="007E0AEA">
      <w:pPr>
        <w:pStyle w:val="1Standardflietext"/>
        <w:jc w:val="both"/>
        <w:rPr>
          <w:rFonts w:cs="Arial"/>
        </w:rPr>
      </w:pPr>
    </w:p>
    <w:p w:rsidR="001B5670" w:rsidRPr="002B0990" w:rsidRDefault="001B5670" w:rsidP="007E0AEA">
      <w:pPr>
        <w:pStyle w:val="1Standardflietext"/>
        <w:jc w:val="both"/>
        <w:rPr>
          <w:rFonts w:cs="Arial"/>
        </w:rPr>
      </w:pPr>
      <w:r w:rsidRPr="002B0990">
        <w:rPr>
          <w:rFonts w:cs="Arial"/>
        </w:rPr>
        <w:t xml:space="preserve">Artikel </w:t>
      </w:r>
      <w:bookmarkStart w:id="2" w:name="88"/>
      <w:r w:rsidRPr="002B0990">
        <w:rPr>
          <w:rFonts w:cs="Arial"/>
        </w:rPr>
        <w:t>88</w:t>
      </w:r>
      <w:bookmarkEnd w:id="2"/>
      <w:r w:rsidRPr="002B0990">
        <w:rPr>
          <w:rFonts w:cs="Arial"/>
        </w:rPr>
        <w:t>.</w:t>
      </w:r>
    </w:p>
    <w:p w:rsidR="001B5670" w:rsidRPr="002B0990" w:rsidRDefault="001B5670" w:rsidP="007E0AEA">
      <w:pPr>
        <w:pStyle w:val="1Standardflietext"/>
        <w:jc w:val="both"/>
        <w:rPr>
          <w:rFonts w:cs="Arial"/>
        </w:rPr>
      </w:pPr>
      <w:r w:rsidRPr="002B0990">
        <w:rPr>
          <w:rFonts w:cs="Arial"/>
        </w:rPr>
        <w:t>  In dem Teile Oberschlesiens, der innerhalb der nachstehend beschriebenen Grenzen gelegen ist, werden die Einwohner berufen, im Wege der Abstimmung kundzutun, ob sie mit Deutschland oder Pol</w:t>
      </w:r>
      <w:r w:rsidR="00BE4C6A" w:rsidRPr="002B0990">
        <w:rPr>
          <w:rFonts w:cs="Arial"/>
        </w:rPr>
        <w:t>en vereinigt zu werden wünschen […]</w:t>
      </w:r>
      <w:r w:rsidR="00EA7067" w:rsidRPr="002B0990">
        <w:rPr>
          <w:rFonts w:cs="Arial"/>
        </w:rPr>
        <w:tab/>
      </w:r>
      <w:r w:rsidRPr="002B0990">
        <w:rPr>
          <w:rFonts w:cs="Arial"/>
        </w:rPr>
        <w:br/>
        <w:t xml:space="preserve"> Die polnische und die deutsche Regierung verpflichten sich bereits jetzt, jede, insoweit sie es angeht, an keiner Stelle ihres Gebietes wegen politischer Vorkommnisse, die sich in Oberschlesien währen der Dauer der in der beigefügten </w:t>
      </w:r>
      <w:r w:rsidR="00BE4C6A" w:rsidRPr="002B0990">
        <w:rPr>
          <w:rFonts w:cs="Arial"/>
        </w:rPr>
        <w:t xml:space="preserve">Anlage </w:t>
      </w:r>
      <w:r w:rsidRPr="002B0990">
        <w:rPr>
          <w:rFonts w:cs="Arial"/>
        </w:rPr>
        <w:t>bestimmten Regelung bis zur endgültigen Regelung des Schicksals dieses Gebiets ereignen, Strafverfolgungen einzuleiten und weiterzuführen oder irgendwelche Ausnahmemaßregeln zu ergreifen.</w:t>
      </w:r>
      <w:r w:rsidR="00EA7067" w:rsidRPr="002B0990">
        <w:rPr>
          <w:rFonts w:cs="Arial"/>
        </w:rPr>
        <w:tab/>
      </w:r>
      <w:r w:rsidRPr="002B0990">
        <w:rPr>
          <w:rFonts w:cs="Arial"/>
        </w:rPr>
        <w:br/>
        <w:t>  Deutschland verzichtet bereits jetzt zu Gunsten Polens auf alle Rechte und Ansprüche auf den Teil Oberschlesiens, der jenseits der auf Grund der Volksabstimmung von den alliierten und assoziierten Hauptmächten festgesetzten Grenzlinie gelegen ist.</w:t>
      </w:r>
    </w:p>
    <w:p w:rsidR="001B5670" w:rsidRPr="002B0990" w:rsidRDefault="00A71A01" w:rsidP="00334BDA">
      <w:pPr>
        <w:pStyle w:val="1Standardflietext"/>
        <w:jc w:val="both"/>
        <w:rPr>
          <w:rFonts w:cs="Arial"/>
          <w:i/>
          <w:sz w:val="20"/>
          <w:szCs w:val="18"/>
        </w:rPr>
      </w:pPr>
      <w:r w:rsidRPr="002B0990">
        <w:rPr>
          <w:rFonts w:cs="Arial"/>
          <w:i/>
          <w:sz w:val="20"/>
          <w:szCs w:val="18"/>
        </w:rPr>
        <w:t xml:space="preserve">Quelle: </w:t>
      </w:r>
      <w:hyperlink r:id="rId11" w:history="1">
        <w:r w:rsidR="00FD669C" w:rsidRPr="002B0990">
          <w:rPr>
            <w:rStyle w:val="Hyperlink"/>
            <w:rFonts w:cs="Arial"/>
            <w:i/>
            <w:color w:val="auto"/>
            <w:sz w:val="20"/>
            <w:szCs w:val="18"/>
          </w:rPr>
          <w:t>http://www.documentarchiv.de/wr/vv.html</w:t>
        </w:r>
      </w:hyperlink>
      <w:r w:rsidR="00FD669C" w:rsidRPr="002B0990">
        <w:rPr>
          <w:rFonts w:cs="Arial"/>
          <w:i/>
          <w:sz w:val="20"/>
          <w:szCs w:val="18"/>
        </w:rPr>
        <w:t xml:space="preserve"> </w:t>
      </w:r>
    </w:p>
    <w:p w:rsidR="00BE4C6A" w:rsidRPr="002B0990" w:rsidRDefault="00BE4C6A" w:rsidP="00A238D8">
      <w:pPr>
        <w:spacing w:after="0" w:line="240" w:lineRule="auto"/>
        <w:jc w:val="both"/>
        <w:rPr>
          <w:rFonts w:cs="Arial"/>
          <w:i/>
          <w:sz w:val="22"/>
          <w:szCs w:val="20"/>
        </w:rPr>
      </w:pPr>
      <w:r w:rsidRPr="002B0990">
        <w:rPr>
          <w:rFonts w:cs="Arial"/>
          <w:i/>
        </w:rPr>
        <w:br w:type="page"/>
      </w:r>
    </w:p>
    <w:p w:rsidR="00487F32" w:rsidRPr="002B0990" w:rsidRDefault="00BE4C6A" w:rsidP="00A238D8">
      <w:pPr>
        <w:pStyle w:val="0berschrift1"/>
        <w:jc w:val="both"/>
        <w:rPr>
          <w:rFonts w:cs="Arial"/>
        </w:rPr>
      </w:pPr>
      <w:r w:rsidRPr="002B0990">
        <w:rPr>
          <w:rFonts w:cs="Arial"/>
        </w:rPr>
        <w:lastRenderedPageBreak/>
        <w:t>Text 3</w:t>
      </w:r>
      <w:r w:rsidR="00CE1948" w:rsidRPr="002B0990">
        <w:rPr>
          <w:rFonts w:cs="Arial"/>
        </w:rPr>
        <w:t xml:space="preserve">: </w:t>
      </w:r>
      <w:r w:rsidR="00487F32" w:rsidRPr="002B0990">
        <w:rPr>
          <w:rFonts w:cs="Arial"/>
        </w:rPr>
        <w:t>Der polnische Historiker Jerzy Holzer über die unterschiedliche Stellung Polens und Deutschlands nach 1918</w:t>
      </w:r>
    </w:p>
    <w:p w:rsidR="00487F32" w:rsidRPr="002B0990" w:rsidRDefault="00487F32" w:rsidP="00A238D8">
      <w:pPr>
        <w:pStyle w:val="1Standardflietext"/>
        <w:jc w:val="both"/>
        <w:rPr>
          <w:rFonts w:cs="Arial"/>
        </w:rPr>
      </w:pPr>
      <w:r w:rsidRPr="002B0990">
        <w:rPr>
          <w:rFonts w:cs="Arial"/>
        </w:rPr>
        <w:t xml:space="preserve">Polen war zwar als unabhängiger Staat wiedererstanden. Ihm fehlten aber unzweideutig festgeschriebene Grenzen, es stritt sich außerdem nicht allein mit Deutschland, sondern so gut wie mit allen seinen übrigen Nachbarn. Polens Stellung in der europäischen Politik war schwach. Und selbst als es zum Völkerrechtssubjekt geworden war, blieb es doch meistenteils lediglich ein Objekt der internationalen </w:t>
      </w:r>
      <w:r w:rsidR="00334BDA" w:rsidRPr="002B0990">
        <w:rPr>
          <w:rFonts w:cs="Arial"/>
        </w:rPr>
        <w:t>„</w:t>
      </w:r>
      <w:r w:rsidRPr="002B0990">
        <w:rPr>
          <w:rFonts w:cs="Arial"/>
        </w:rPr>
        <w:t>Realpolitik</w:t>
      </w:r>
      <w:r w:rsidR="00334BDA" w:rsidRPr="002B0990">
        <w:rPr>
          <w:rFonts w:cs="Arial"/>
        </w:rPr>
        <w:t>“</w:t>
      </w:r>
      <w:r w:rsidRPr="002B0990">
        <w:rPr>
          <w:rFonts w:cs="Arial"/>
        </w:rPr>
        <w:t>. Umgekehrt lag der Fall bei Deutschland. Freilich hatte es seine Souveränität mit der Kapitulation in Frage gestellt, wurde auch im Innern von Revolution und Konterrevolution, von Verfallserscheinungen und schließlich extremistischen Bestrebungen gebeutelt und erschüttert, doch sein Potenzial blieb weithin ein gewaltiges. Demnach war es zwar eine zusammengebrochene Großmacht, hörte aber für ganz Europa – darunter auch die Siegermächte der Koalition – nicht auf, ein Grundpfeiler der internationalen Ordnung zu sein.</w:t>
      </w:r>
    </w:p>
    <w:p w:rsidR="00487F32" w:rsidRPr="002B0990" w:rsidRDefault="00487F32" w:rsidP="00A238D8">
      <w:pPr>
        <w:autoSpaceDE w:val="0"/>
        <w:autoSpaceDN w:val="0"/>
        <w:adjustRightInd w:val="0"/>
        <w:spacing w:after="0" w:line="240" w:lineRule="auto"/>
        <w:jc w:val="both"/>
        <w:rPr>
          <w:rFonts w:cs="Arial"/>
          <w:i/>
          <w:iCs/>
          <w:szCs w:val="16"/>
        </w:rPr>
      </w:pPr>
      <w:r w:rsidRPr="002B0990">
        <w:rPr>
          <w:rFonts w:cs="Arial"/>
          <w:i/>
          <w:iCs/>
          <w:szCs w:val="16"/>
        </w:rPr>
        <w:t>Aus: Jerzy Holzer: 1918. Das Ende des Ersten Weltkrieges, Deutschlands Zusammenbruch und die erste Wiederherstellung des polnischen Staates. In: Nordost-Archiv. Zeitschrift für Regionalgeschichte. NF Bd. II/1993. Heft 1: Wendepunkte der deutsch-polnischen Beziehungen im 20. Jahrhun</w:t>
      </w:r>
      <w:r w:rsidR="00FD669C" w:rsidRPr="002B0990">
        <w:rPr>
          <w:rFonts w:cs="Arial"/>
          <w:i/>
          <w:iCs/>
          <w:szCs w:val="16"/>
        </w:rPr>
        <w:t>dert: 1918–1939–1945–1990, S. 7-</w:t>
      </w:r>
      <w:r w:rsidRPr="002B0990">
        <w:rPr>
          <w:rFonts w:cs="Arial"/>
          <w:i/>
          <w:iCs/>
          <w:szCs w:val="16"/>
        </w:rPr>
        <w:t>18</w:t>
      </w:r>
      <w:r w:rsidR="004F2929" w:rsidRPr="002B0990">
        <w:rPr>
          <w:rFonts w:cs="Arial"/>
          <w:i/>
          <w:iCs/>
          <w:szCs w:val="16"/>
        </w:rPr>
        <w:t>.</w:t>
      </w:r>
    </w:p>
    <w:p w:rsidR="00CE1948" w:rsidRPr="002B0990" w:rsidRDefault="00CE1948" w:rsidP="00A238D8">
      <w:pPr>
        <w:pStyle w:val="1Standardflietext"/>
        <w:jc w:val="both"/>
        <w:rPr>
          <w:rFonts w:cs="Arial"/>
          <w:i/>
        </w:rPr>
      </w:pPr>
    </w:p>
    <w:p w:rsidR="00BE4C6A" w:rsidRPr="002B0990" w:rsidRDefault="00BE4C6A" w:rsidP="00A238D8">
      <w:pPr>
        <w:pStyle w:val="1Standardflietext"/>
        <w:jc w:val="both"/>
        <w:rPr>
          <w:rFonts w:cs="Arial"/>
          <w:b/>
        </w:rPr>
      </w:pPr>
      <w:r w:rsidRPr="002B0990">
        <w:rPr>
          <w:rFonts w:cs="Arial"/>
          <w:b/>
        </w:rPr>
        <w:t>Aufgaben</w:t>
      </w:r>
    </w:p>
    <w:p w:rsidR="0061674C" w:rsidRPr="002B0990" w:rsidRDefault="00CE1948" w:rsidP="00A238D8">
      <w:pPr>
        <w:pStyle w:val="1Standardflietext"/>
        <w:jc w:val="both"/>
        <w:rPr>
          <w:rFonts w:cs="Arial"/>
          <w:i/>
        </w:rPr>
      </w:pPr>
      <w:r w:rsidRPr="002B0990">
        <w:rPr>
          <w:rFonts w:cs="Arial"/>
          <w:i/>
        </w:rPr>
        <w:t xml:space="preserve">1. </w:t>
      </w:r>
      <w:r w:rsidR="00BE4C6A" w:rsidRPr="002B0990">
        <w:rPr>
          <w:rFonts w:cs="Arial"/>
          <w:i/>
        </w:rPr>
        <w:t>In Woodrow Wilsons 14-Punkte-Programm (T</w:t>
      </w:r>
      <w:r w:rsidRPr="002B0990">
        <w:rPr>
          <w:rFonts w:cs="Arial"/>
          <w:i/>
        </w:rPr>
        <w:t>ext 1) heißt es, der neu zu errichtende Staat solle ein Staatsgebiet umfassen, das „</w:t>
      </w:r>
      <w:r w:rsidR="00BE4C6A" w:rsidRPr="002B0990">
        <w:rPr>
          <w:rFonts w:cs="Arial"/>
          <w:i/>
        </w:rPr>
        <w:t>alle Gebiete einzubegreifen hätte, die von unbestritten polnischer Bevölkerung bewohnt sind</w:t>
      </w:r>
      <w:r w:rsidRPr="002B0990">
        <w:rPr>
          <w:rFonts w:cs="Arial"/>
          <w:i/>
        </w:rPr>
        <w:t>.“ Was schließen Sie aus dieser Festlegung im Hinblick auf das alte, vor 1795 bestehende polnische Staatsgebiet?</w:t>
      </w:r>
    </w:p>
    <w:p w:rsidR="00CE1948" w:rsidRPr="002B0990" w:rsidRDefault="00CE1948" w:rsidP="00A238D8">
      <w:pPr>
        <w:pStyle w:val="1Standardflietext"/>
        <w:jc w:val="both"/>
        <w:rPr>
          <w:rFonts w:cs="Arial"/>
          <w:i/>
        </w:rPr>
      </w:pPr>
    </w:p>
    <w:p w:rsidR="00CE1948" w:rsidRPr="002B0990" w:rsidRDefault="00CE1948" w:rsidP="00A238D8">
      <w:pPr>
        <w:pStyle w:val="1Standardflietext"/>
        <w:jc w:val="both"/>
        <w:rPr>
          <w:rFonts w:cs="Arial"/>
          <w:i/>
        </w:rPr>
      </w:pPr>
      <w:r w:rsidRPr="002B0990">
        <w:rPr>
          <w:rFonts w:cs="Arial"/>
          <w:i/>
        </w:rPr>
        <w:t xml:space="preserve">2. Welches Kriterium nationaler Zugehörigkeit ist für Wilson das entscheidende? Diskutieren Sie, ob dieses Kriterium auch heute noch als einzig entscheidendes </w:t>
      </w:r>
      <w:r w:rsidR="00A238D8" w:rsidRPr="002B0990">
        <w:rPr>
          <w:rFonts w:cs="Arial"/>
          <w:i/>
        </w:rPr>
        <w:t xml:space="preserve">Kriterium </w:t>
      </w:r>
      <w:r w:rsidRPr="002B0990">
        <w:rPr>
          <w:rFonts w:cs="Arial"/>
          <w:i/>
        </w:rPr>
        <w:t xml:space="preserve">bei der Feststellung nationaler Zugehörigkeit herangezogen </w:t>
      </w:r>
      <w:r w:rsidR="009B3134" w:rsidRPr="002B0990">
        <w:rPr>
          <w:rFonts w:cs="Arial"/>
          <w:i/>
        </w:rPr>
        <w:t>wird</w:t>
      </w:r>
      <w:r w:rsidRPr="002B0990">
        <w:rPr>
          <w:rFonts w:cs="Arial"/>
          <w:i/>
        </w:rPr>
        <w:t>.</w:t>
      </w:r>
      <w:r w:rsidR="009B3134" w:rsidRPr="002B0990">
        <w:rPr>
          <w:rFonts w:cs="Arial"/>
          <w:i/>
        </w:rPr>
        <w:t xml:space="preserve"> Wer kann heute in Deutschland</w:t>
      </w:r>
      <w:r w:rsidR="00EC2805" w:rsidRPr="002B0990">
        <w:rPr>
          <w:rFonts w:cs="Arial"/>
          <w:i/>
        </w:rPr>
        <w:t xml:space="preserve"> die Staatsbürgerschaft erhalten</w:t>
      </w:r>
      <w:r w:rsidR="009B3134" w:rsidRPr="002B0990">
        <w:rPr>
          <w:rFonts w:cs="Arial"/>
          <w:i/>
        </w:rPr>
        <w:t>?</w:t>
      </w:r>
    </w:p>
    <w:p w:rsidR="00CE1948" w:rsidRPr="002B0990" w:rsidRDefault="00CE1948" w:rsidP="00A238D8">
      <w:pPr>
        <w:pStyle w:val="1Standardflietext"/>
        <w:jc w:val="both"/>
        <w:rPr>
          <w:rFonts w:cs="Arial"/>
          <w:i/>
        </w:rPr>
      </w:pPr>
    </w:p>
    <w:p w:rsidR="0061674C" w:rsidRPr="002B0990" w:rsidRDefault="00CE1948" w:rsidP="00A238D8">
      <w:pPr>
        <w:pStyle w:val="1Standardflietext"/>
        <w:jc w:val="both"/>
        <w:rPr>
          <w:rFonts w:cs="Arial"/>
          <w:i/>
        </w:rPr>
      </w:pPr>
      <w:r w:rsidRPr="002B0990">
        <w:rPr>
          <w:rFonts w:cs="Arial"/>
          <w:i/>
        </w:rPr>
        <w:t xml:space="preserve">3. Der Historiker Jerzy Holzer schreibt in seinem Text (Nr.3) unter anderem: „Und selbst als es [Polen] zum Völkerrechtssubjekt geworden war, blieb es doch meistenteils lediglich </w:t>
      </w:r>
      <w:r w:rsidR="009B3134" w:rsidRPr="002B0990">
        <w:rPr>
          <w:rFonts w:cs="Arial"/>
          <w:i/>
        </w:rPr>
        <w:t>ein Objekt der internationalen „</w:t>
      </w:r>
      <w:r w:rsidRPr="002B0990">
        <w:rPr>
          <w:rFonts w:cs="Arial"/>
          <w:i/>
        </w:rPr>
        <w:t>Realpolitik</w:t>
      </w:r>
      <w:r w:rsidR="009B3134" w:rsidRPr="002B0990">
        <w:rPr>
          <w:rFonts w:cs="Arial"/>
          <w:i/>
        </w:rPr>
        <w:t>“</w:t>
      </w:r>
      <w:r w:rsidRPr="002B0990">
        <w:rPr>
          <w:rFonts w:cs="Arial"/>
          <w:i/>
        </w:rPr>
        <w:t>. Begründen Sie diese Aussage mit Hilfe der entsprechenden Festlegungen des Versailler Vertrags (Text 2)</w:t>
      </w:r>
      <w:r w:rsidR="009B3134" w:rsidRPr="002B0990">
        <w:rPr>
          <w:rFonts w:cs="Arial"/>
          <w:i/>
        </w:rPr>
        <w:t>.</w:t>
      </w:r>
    </w:p>
    <w:p w:rsidR="0061674C" w:rsidRPr="002B0990" w:rsidRDefault="0061674C" w:rsidP="00A238D8">
      <w:pPr>
        <w:pStyle w:val="1Standardflietext"/>
        <w:jc w:val="both"/>
        <w:rPr>
          <w:rFonts w:cs="Arial"/>
          <w:i/>
        </w:rPr>
      </w:pPr>
    </w:p>
    <w:p w:rsidR="005C43B6" w:rsidRPr="002B0990" w:rsidRDefault="00CE1948" w:rsidP="00A238D8">
      <w:pPr>
        <w:pStyle w:val="1Standardflietext"/>
        <w:jc w:val="both"/>
        <w:rPr>
          <w:rFonts w:cs="Arial"/>
          <w:i/>
        </w:rPr>
      </w:pPr>
      <w:r w:rsidRPr="002B0990">
        <w:rPr>
          <w:rFonts w:cs="Arial"/>
          <w:i/>
        </w:rPr>
        <w:t>4</w:t>
      </w:r>
      <w:r w:rsidR="005C43B6" w:rsidRPr="002B0990">
        <w:rPr>
          <w:rFonts w:cs="Arial"/>
          <w:i/>
        </w:rPr>
        <w:t>. Welche Interessen prallten von deutscher und polnischer Seite nach 1918 unvereinbar aufeinander?</w:t>
      </w:r>
    </w:p>
    <w:p w:rsidR="002B0990" w:rsidRPr="002B0990" w:rsidRDefault="002B0990" w:rsidP="00A238D8">
      <w:pPr>
        <w:pStyle w:val="1Standardflietext"/>
        <w:jc w:val="both"/>
        <w:rPr>
          <w:rFonts w:cs="Arial"/>
          <w:i/>
        </w:rPr>
      </w:pPr>
    </w:p>
    <w:p w:rsidR="00CE1948" w:rsidRPr="002B0990" w:rsidRDefault="00CE1948" w:rsidP="00F6308A">
      <w:pPr>
        <w:pStyle w:val="1Standardflietext"/>
        <w:rPr>
          <w:rFonts w:cs="Arial"/>
          <w:i/>
        </w:rPr>
      </w:pPr>
    </w:p>
    <w:tbl>
      <w:tblPr>
        <w:tblStyle w:val="Tabellenraster"/>
        <w:tblW w:w="0" w:type="auto"/>
        <w:tblInd w:w="108" w:type="dxa"/>
        <w:tblLook w:val="04A0" w:firstRow="1" w:lastRow="0" w:firstColumn="1" w:lastColumn="0" w:noHBand="0" w:noVBand="1"/>
      </w:tblPr>
      <w:tblGrid>
        <w:gridCol w:w="4479"/>
        <w:gridCol w:w="4735"/>
      </w:tblGrid>
      <w:tr w:rsidR="002B0990" w:rsidRPr="002B0990" w:rsidTr="002B0990">
        <w:tc>
          <w:tcPr>
            <w:tcW w:w="4479" w:type="dxa"/>
            <w:shd w:val="clear" w:color="auto" w:fill="auto"/>
          </w:tcPr>
          <w:p w:rsidR="005C43B6" w:rsidRPr="002B0990" w:rsidRDefault="005C43B6" w:rsidP="002B0990">
            <w:pPr>
              <w:pStyle w:val="1Standardflietext"/>
              <w:jc w:val="center"/>
              <w:rPr>
                <w:rFonts w:cs="Arial"/>
                <w:i/>
              </w:rPr>
            </w:pPr>
            <w:r w:rsidRPr="002B0990">
              <w:rPr>
                <w:rFonts w:cs="Arial"/>
                <w:i/>
              </w:rPr>
              <w:t>Deutsche Interesse</w:t>
            </w:r>
            <w:r w:rsidR="00334BDA" w:rsidRPr="002B0990">
              <w:rPr>
                <w:rFonts w:cs="Arial"/>
                <w:i/>
              </w:rPr>
              <w:t>n</w:t>
            </w:r>
          </w:p>
        </w:tc>
        <w:tc>
          <w:tcPr>
            <w:tcW w:w="4735" w:type="dxa"/>
            <w:shd w:val="clear" w:color="auto" w:fill="auto"/>
          </w:tcPr>
          <w:p w:rsidR="005C43B6" w:rsidRPr="002B0990" w:rsidRDefault="005C43B6" w:rsidP="002B0990">
            <w:pPr>
              <w:pStyle w:val="1Standardflietext"/>
              <w:jc w:val="center"/>
              <w:rPr>
                <w:rFonts w:cs="Arial"/>
                <w:i/>
              </w:rPr>
            </w:pPr>
            <w:r w:rsidRPr="002B0990">
              <w:rPr>
                <w:rFonts w:cs="Arial"/>
                <w:i/>
              </w:rPr>
              <w:t>Polnische Interesse</w:t>
            </w:r>
            <w:r w:rsidR="00334BDA" w:rsidRPr="002B0990">
              <w:rPr>
                <w:rFonts w:cs="Arial"/>
                <w:i/>
              </w:rPr>
              <w:t>n</w:t>
            </w:r>
          </w:p>
        </w:tc>
      </w:tr>
      <w:tr w:rsidR="002B0990" w:rsidRPr="002B0990" w:rsidTr="002B0990">
        <w:tc>
          <w:tcPr>
            <w:tcW w:w="4479" w:type="dxa"/>
          </w:tcPr>
          <w:p w:rsidR="005C43B6" w:rsidRPr="002B0990" w:rsidRDefault="005C43B6" w:rsidP="00F6308A">
            <w:pPr>
              <w:pStyle w:val="1Standardflietext"/>
              <w:rPr>
                <w:rFonts w:cs="Arial"/>
                <w:i/>
              </w:rPr>
            </w:pPr>
          </w:p>
          <w:p w:rsidR="00CC5FBE" w:rsidRPr="002B0990" w:rsidRDefault="00CC5FBE" w:rsidP="00F6308A">
            <w:pPr>
              <w:pStyle w:val="1Standardflietext"/>
              <w:rPr>
                <w:rFonts w:cs="Arial"/>
                <w:i/>
              </w:rPr>
            </w:pPr>
          </w:p>
        </w:tc>
        <w:tc>
          <w:tcPr>
            <w:tcW w:w="4735" w:type="dxa"/>
          </w:tcPr>
          <w:p w:rsidR="005C43B6" w:rsidRPr="002B0990" w:rsidRDefault="005C43B6" w:rsidP="00F6308A">
            <w:pPr>
              <w:pStyle w:val="1Standardflietext"/>
              <w:rPr>
                <w:rFonts w:cs="Arial"/>
                <w:i/>
              </w:rPr>
            </w:pPr>
          </w:p>
        </w:tc>
      </w:tr>
      <w:tr w:rsidR="002B0990" w:rsidRPr="002B0990" w:rsidTr="002B0990">
        <w:tc>
          <w:tcPr>
            <w:tcW w:w="4479" w:type="dxa"/>
          </w:tcPr>
          <w:p w:rsidR="005C43B6" w:rsidRPr="002B0990" w:rsidRDefault="005C43B6" w:rsidP="00F6308A">
            <w:pPr>
              <w:pStyle w:val="1Standardflietext"/>
              <w:rPr>
                <w:rFonts w:cs="Arial"/>
                <w:i/>
              </w:rPr>
            </w:pPr>
          </w:p>
          <w:p w:rsidR="00CC5FBE" w:rsidRPr="002B0990" w:rsidRDefault="00CC5FBE" w:rsidP="00F6308A">
            <w:pPr>
              <w:pStyle w:val="1Standardflietext"/>
              <w:rPr>
                <w:rFonts w:cs="Arial"/>
                <w:i/>
              </w:rPr>
            </w:pPr>
          </w:p>
        </w:tc>
        <w:tc>
          <w:tcPr>
            <w:tcW w:w="4735" w:type="dxa"/>
          </w:tcPr>
          <w:p w:rsidR="005C43B6" w:rsidRPr="002B0990" w:rsidRDefault="005C43B6" w:rsidP="00F6308A">
            <w:pPr>
              <w:pStyle w:val="1Standardflietext"/>
              <w:rPr>
                <w:rFonts w:cs="Arial"/>
                <w:i/>
              </w:rPr>
            </w:pPr>
          </w:p>
        </w:tc>
      </w:tr>
      <w:tr w:rsidR="002B0990" w:rsidRPr="002B0990" w:rsidTr="002B0990">
        <w:tc>
          <w:tcPr>
            <w:tcW w:w="4479" w:type="dxa"/>
          </w:tcPr>
          <w:p w:rsidR="005C43B6" w:rsidRPr="002B0990" w:rsidRDefault="005C43B6" w:rsidP="00F6308A">
            <w:pPr>
              <w:pStyle w:val="1Standardflietext"/>
              <w:rPr>
                <w:rFonts w:cs="Arial"/>
                <w:i/>
              </w:rPr>
            </w:pPr>
          </w:p>
          <w:p w:rsidR="00CC5FBE" w:rsidRPr="002B0990" w:rsidRDefault="00CC5FBE" w:rsidP="00F6308A">
            <w:pPr>
              <w:pStyle w:val="1Standardflietext"/>
              <w:rPr>
                <w:rFonts w:cs="Arial"/>
                <w:i/>
              </w:rPr>
            </w:pPr>
          </w:p>
        </w:tc>
        <w:tc>
          <w:tcPr>
            <w:tcW w:w="4735" w:type="dxa"/>
          </w:tcPr>
          <w:p w:rsidR="005C43B6" w:rsidRPr="002B0990" w:rsidRDefault="005C43B6" w:rsidP="00F6308A">
            <w:pPr>
              <w:pStyle w:val="1Standardflietext"/>
              <w:rPr>
                <w:rFonts w:cs="Arial"/>
                <w:i/>
              </w:rPr>
            </w:pPr>
          </w:p>
        </w:tc>
      </w:tr>
      <w:tr w:rsidR="002B0990" w:rsidRPr="002B0990" w:rsidTr="002B0990">
        <w:tc>
          <w:tcPr>
            <w:tcW w:w="4479" w:type="dxa"/>
          </w:tcPr>
          <w:p w:rsidR="00CC5FBE" w:rsidRPr="002B0990" w:rsidRDefault="00CC5FBE" w:rsidP="00F6308A">
            <w:pPr>
              <w:pStyle w:val="1Standardflietext"/>
              <w:rPr>
                <w:rFonts w:cs="Arial"/>
                <w:i/>
              </w:rPr>
            </w:pPr>
          </w:p>
          <w:p w:rsidR="00CC5FBE" w:rsidRPr="002B0990" w:rsidRDefault="00CC5FBE" w:rsidP="00F6308A">
            <w:pPr>
              <w:pStyle w:val="1Standardflietext"/>
              <w:rPr>
                <w:rFonts w:cs="Arial"/>
                <w:i/>
              </w:rPr>
            </w:pPr>
          </w:p>
        </w:tc>
        <w:tc>
          <w:tcPr>
            <w:tcW w:w="4735" w:type="dxa"/>
          </w:tcPr>
          <w:p w:rsidR="00CC5FBE" w:rsidRPr="002B0990" w:rsidRDefault="00CC5FBE" w:rsidP="00F6308A">
            <w:pPr>
              <w:pStyle w:val="1Standardflietext"/>
              <w:rPr>
                <w:rFonts w:cs="Arial"/>
                <w:i/>
              </w:rPr>
            </w:pPr>
          </w:p>
        </w:tc>
      </w:tr>
    </w:tbl>
    <w:p w:rsidR="0061674C" w:rsidRPr="002B0990" w:rsidRDefault="0061674C" w:rsidP="00F6308A">
      <w:pPr>
        <w:pStyle w:val="1Standardflietext"/>
        <w:rPr>
          <w:rFonts w:cs="Arial"/>
          <w:i/>
        </w:rPr>
      </w:pPr>
    </w:p>
    <w:p w:rsidR="001056AB" w:rsidRPr="002B0990" w:rsidRDefault="001056AB" w:rsidP="00F6308A">
      <w:pPr>
        <w:pStyle w:val="1Standardflietext"/>
        <w:rPr>
          <w:rFonts w:cs="Arial"/>
        </w:rPr>
      </w:pPr>
    </w:p>
    <w:p w:rsidR="00A71A01" w:rsidRPr="002B0990" w:rsidRDefault="00A71A01" w:rsidP="000F6C38">
      <w:pPr>
        <w:pStyle w:val="0berschrift2"/>
        <w:rPr>
          <w:rFonts w:cs="Arial"/>
          <w:i/>
          <w:szCs w:val="18"/>
        </w:rPr>
      </w:pPr>
    </w:p>
    <w:sectPr w:rsidR="00A71A01" w:rsidRPr="002B0990" w:rsidSect="0003613B">
      <w:headerReference w:type="even" r:id="rId12"/>
      <w:headerReference w:type="default" r:id="rId13"/>
      <w:footerReference w:type="even" r:id="rId14"/>
      <w:footerReference w:type="default" r:id="rId15"/>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2C3" w:rsidRDefault="002702C3">
      <w:r>
        <w:separator/>
      </w:r>
    </w:p>
    <w:p w:rsidR="002702C3" w:rsidRDefault="002702C3"/>
    <w:p w:rsidR="002702C3" w:rsidRDefault="002702C3"/>
    <w:p w:rsidR="002702C3" w:rsidRDefault="002702C3"/>
    <w:p w:rsidR="002702C3" w:rsidRDefault="002702C3"/>
    <w:p w:rsidR="002702C3" w:rsidRDefault="002702C3"/>
    <w:p w:rsidR="002702C3" w:rsidRDefault="002702C3"/>
    <w:p w:rsidR="002702C3" w:rsidRDefault="002702C3"/>
  </w:endnote>
  <w:endnote w:type="continuationSeparator" w:id="0">
    <w:p w:rsidR="002702C3" w:rsidRDefault="002702C3">
      <w:r>
        <w:continuationSeparator/>
      </w:r>
    </w:p>
    <w:p w:rsidR="002702C3" w:rsidRDefault="002702C3"/>
    <w:p w:rsidR="002702C3" w:rsidRDefault="002702C3"/>
    <w:p w:rsidR="002702C3" w:rsidRDefault="002702C3"/>
    <w:p w:rsidR="002702C3" w:rsidRDefault="002702C3"/>
    <w:p w:rsidR="002702C3" w:rsidRDefault="002702C3"/>
    <w:p w:rsidR="002702C3" w:rsidRDefault="002702C3"/>
    <w:p w:rsidR="002702C3" w:rsidRDefault="00270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3" w:usb1="08070000" w:usb2="00000010" w:usb3="00000000" w:csb0="0002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1B" w:rsidRDefault="0090281B" w:rsidP="00E44005">
    <w:r>
      <w:fldChar w:fldCharType="begin"/>
    </w:r>
    <w:r>
      <w:instrText xml:space="preserve">PAGE  </w:instrText>
    </w:r>
    <w:r>
      <w:fldChar w:fldCharType="separate"/>
    </w:r>
    <w:r>
      <w:rPr>
        <w:noProof/>
      </w:rPr>
      <w:t>5</w:t>
    </w:r>
    <w:r>
      <w:fldChar w:fldCharType="end"/>
    </w:r>
  </w:p>
  <w:p w:rsidR="0090281B" w:rsidRDefault="0090281B" w:rsidP="00E44005"/>
  <w:p w:rsidR="0090281B" w:rsidRDefault="0090281B"/>
  <w:p w:rsidR="0090281B" w:rsidRDefault="0090281B"/>
  <w:p w:rsidR="0090281B" w:rsidRDefault="0090281B"/>
  <w:p w:rsidR="0090281B" w:rsidRDefault="0090281B"/>
  <w:p w:rsidR="0090281B" w:rsidRDefault="0090281B"/>
  <w:p w:rsidR="0090281B" w:rsidRDefault="0090281B"/>
  <w:p w:rsidR="0090281B" w:rsidRDefault="0090281B"/>
  <w:p w:rsidR="0090281B" w:rsidRDefault="0090281B"/>
  <w:p w:rsidR="0090281B" w:rsidRDefault="0090281B"/>
  <w:p w:rsidR="0090281B" w:rsidRDefault="009028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01"/>
      <w:gridCol w:w="6"/>
      <w:gridCol w:w="6"/>
    </w:tblGrid>
    <w:tr w:rsidR="0090281B" w:rsidTr="00D9640D">
      <w:trPr>
        <w:trHeight w:val="132"/>
      </w:trPr>
      <w:tc>
        <w:tcPr>
          <w:tcW w:w="1919" w:type="dxa"/>
        </w:tcPr>
        <w:tbl>
          <w:tblPr>
            <w:tblW w:w="9299" w:type="dxa"/>
            <w:tblInd w:w="2" w:type="dxa"/>
            <w:tblBorders>
              <w:top w:val="single" w:sz="4" w:space="0" w:color="auto"/>
            </w:tblBorders>
            <w:tblCellMar>
              <w:left w:w="0" w:type="dxa"/>
              <w:right w:w="0" w:type="dxa"/>
            </w:tblCellMar>
            <w:tblLook w:val="0000" w:firstRow="0" w:lastRow="0" w:firstColumn="0" w:lastColumn="0" w:noHBand="0" w:noVBand="0"/>
          </w:tblPr>
          <w:tblGrid>
            <w:gridCol w:w="1919"/>
            <w:gridCol w:w="4519"/>
            <w:gridCol w:w="2861"/>
          </w:tblGrid>
          <w:tr w:rsidR="0090281B" w:rsidTr="002F54A5">
            <w:trPr>
              <w:trHeight w:val="132"/>
            </w:trPr>
            <w:tc>
              <w:tcPr>
                <w:tcW w:w="1919" w:type="dxa"/>
                <w:tcBorders>
                  <w:top w:val="single" w:sz="4" w:space="0" w:color="auto"/>
                  <w:left w:val="nil"/>
                  <w:bottom w:val="nil"/>
                  <w:right w:val="nil"/>
                </w:tcBorders>
              </w:tcPr>
              <w:p w:rsidR="0090281B" w:rsidRDefault="0090281B" w:rsidP="002F54A5">
                <w:pPr>
                  <w:spacing w:after="0"/>
                  <w:rPr>
                    <w:rFonts w:ascii="Times New Roman" w:hAnsi="Times New Roman"/>
                    <w:noProof/>
                    <w:sz w:val="16"/>
                    <w:szCs w:val="16"/>
                  </w:rPr>
                </w:pPr>
              </w:p>
              <w:p w:rsidR="0090281B" w:rsidRDefault="0090281B" w:rsidP="002F54A5">
                <w:pPr>
                  <w:spacing w:after="0"/>
                  <w:rPr>
                    <w:rFonts w:ascii="Times New Roman" w:hAnsi="Times New Roman"/>
                    <w:sz w:val="16"/>
                    <w:szCs w:val="16"/>
                  </w:rPr>
                </w:pPr>
                <w:r>
                  <w:rPr>
                    <w:rFonts w:ascii="Times New Roman" w:hAnsi="Times New Roman"/>
                    <w:noProof/>
                    <w:sz w:val="16"/>
                    <w:szCs w:val="16"/>
                  </w:rPr>
                  <w:drawing>
                    <wp:inline distT="0" distB="0" distL="0" distR="0" wp14:anchorId="0B8FCAC4" wp14:editId="26627B20">
                      <wp:extent cx="942975" cy="323850"/>
                      <wp:effectExtent l="19050" t="0" r="9525" b="0"/>
                      <wp:docPr id="7"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
                              <a:srcRect/>
                              <a:stretch>
                                <a:fillRect/>
                              </a:stretch>
                            </pic:blipFill>
                            <pic:spPr bwMode="auto">
                              <a:xfrm>
                                <a:off x="0" y="0"/>
                                <a:ext cx="942975" cy="323850"/>
                              </a:xfrm>
                              <a:prstGeom prst="rect">
                                <a:avLst/>
                              </a:prstGeom>
                              <a:noFill/>
                              <a:ln w="9525">
                                <a:noFill/>
                                <a:miter lim="800000"/>
                                <a:headEnd/>
                                <a:tailEnd/>
                              </a:ln>
                            </pic:spPr>
                          </pic:pic>
                        </a:graphicData>
                      </a:graphic>
                    </wp:inline>
                  </w:drawing>
                </w:r>
              </w:p>
            </w:tc>
            <w:tc>
              <w:tcPr>
                <w:tcW w:w="4519" w:type="dxa"/>
                <w:tcBorders>
                  <w:top w:val="single" w:sz="4" w:space="0" w:color="auto"/>
                  <w:left w:val="nil"/>
                  <w:bottom w:val="nil"/>
                  <w:right w:val="nil"/>
                </w:tcBorders>
              </w:tcPr>
              <w:p w:rsidR="0090281B" w:rsidRDefault="0090281B" w:rsidP="002F54A5">
                <w:pPr>
                  <w:pStyle w:val="RahmenFuzeile"/>
                  <w:jc w:val="center"/>
                  <w:rPr>
                    <w:rFonts w:ascii="Times New Roman" w:hAnsi="Times New Roman"/>
                  </w:rPr>
                </w:pPr>
                <w:r>
                  <w:rPr>
                    <w:rFonts w:ascii="Times New Roman" w:hAnsi="Times New Roman"/>
                  </w:rPr>
                  <w:t>www.poleninderschule.de</w:t>
                </w:r>
              </w:p>
            </w:tc>
            <w:tc>
              <w:tcPr>
                <w:tcW w:w="2861" w:type="dxa"/>
                <w:tcBorders>
                  <w:top w:val="single" w:sz="4" w:space="0" w:color="auto"/>
                  <w:left w:val="nil"/>
                  <w:bottom w:val="nil"/>
                  <w:right w:val="nil"/>
                </w:tcBorders>
              </w:tcPr>
              <w:p w:rsidR="0090281B" w:rsidRDefault="0090281B" w:rsidP="002F54A5">
                <w:pPr>
                  <w:pStyle w:val="RahmenFuzeile"/>
                  <w:jc w:val="right"/>
                  <w:rPr>
                    <w:rFonts w:ascii="Times New Roman" w:hAnsi="Times New Roman"/>
                  </w:rPr>
                </w:pPr>
                <w:r>
                  <w:rPr>
                    <w:rFonts w:ascii="Times New Roman" w:hAnsi="Times New Roman"/>
                  </w:rPr>
                  <w:t xml:space="preserve">Seite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0F6C38">
                  <w:rPr>
                    <w:rFonts w:ascii="Times New Roman" w:hAnsi="Times New Roman"/>
                    <w:noProof/>
                  </w:rPr>
                  <w:t>1</w:t>
                </w:r>
                <w:r>
                  <w:rPr>
                    <w:rFonts w:ascii="Times New Roman" w:hAnsi="Times New Roman"/>
                  </w:rPr>
                  <w:fldChar w:fldCharType="end"/>
                </w:r>
                <w:r>
                  <w:rPr>
                    <w:rFonts w:ascii="Times New Roman" w:hAnsi="Times New Roman"/>
                  </w:rPr>
                  <w:t xml:space="preserve"> von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0F6C38">
                  <w:rPr>
                    <w:rFonts w:ascii="Times New Roman" w:hAnsi="Times New Roman"/>
                    <w:noProof/>
                  </w:rPr>
                  <w:t>2</w:t>
                </w:r>
                <w:r>
                  <w:rPr>
                    <w:rFonts w:ascii="Times New Roman" w:hAnsi="Times New Roman"/>
                  </w:rPr>
                  <w:fldChar w:fldCharType="end"/>
                </w:r>
                <w:r>
                  <w:rPr>
                    <w:rFonts w:ascii="Times New Roman" w:hAnsi="Times New Roman"/>
                  </w:rPr>
                  <w:br/>
                </w:r>
              </w:p>
            </w:tc>
          </w:tr>
        </w:tbl>
        <w:p w:rsidR="0090281B" w:rsidRPr="00D442D6" w:rsidRDefault="0090281B" w:rsidP="00383D1A">
          <w:pPr>
            <w:spacing w:after="0"/>
            <w:rPr>
              <w:rFonts w:ascii="Times New Roman" w:hAnsi="Times New Roman"/>
              <w:sz w:val="16"/>
              <w:szCs w:val="16"/>
            </w:rPr>
          </w:pPr>
        </w:p>
      </w:tc>
      <w:tc>
        <w:tcPr>
          <w:tcW w:w="4519" w:type="dxa"/>
        </w:tcPr>
        <w:p w:rsidR="0090281B" w:rsidRPr="00D442D6" w:rsidRDefault="0090281B" w:rsidP="00C67B21">
          <w:pPr>
            <w:pStyle w:val="RahmenFuzeile"/>
            <w:jc w:val="center"/>
            <w:rPr>
              <w:rFonts w:ascii="Times New Roman" w:hAnsi="Times New Roman"/>
              <w:szCs w:val="16"/>
            </w:rPr>
          </w:pPr>
        </w:p>
      </w:tc>
      <w:tc>
        <w:tcPr>
          <w:tcW w:w="2861" w:type="dxa"/>
        </w:tcPr>
        <w:p w:rsidR="0090281B" w:rsidRPr="00D442D6" w:rsidRDefault="0090281B"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2C3" w:rsidRDefault="002702C3">
      <w:r>
        <w:separator/>
      </w:r>
    </w:p>
    <w:p w:rsidR="002702C3" w:rsidRDefault="002702C3"/>
    <w:p w:rsidR="002702C3" w:rsidRDefault="002702C3"/>
    <w:p w:rsidR="002702C3" w:rsidRDefault="002702C3"/>
    <w:p w:rsidR="002702C3" w:rsidRDefault="002702C3"/>
    <w:p w:rsidR="002702C3" w:rsidRDefault="002702C3"/>
    <w:p w:rsidR="002702C3" w:rsidRDefault="002702C3"/>
    <w:p w:rsidR="002702C3" w:rsidRDefault="002702C3"/>
  </w:footnote>
  <w:footnote w:type="continuationSeparator" w:id="0">
    <w:p w:rsidR="002702C3" w:rsidRDefault="002702C3">
      <w:r>
        <w:continuationSeparator/>
      </w:r>
    </w:p>
    <w:p w:rsidR="002702C3" w:rsidRDefault="002702C3"/>
    <w:p w:rsidR="002702C3" w:rsidRDefault="002702C3"/>
    <w:p w:rsidR="002702C3" w:rsidRDefault="002702C3"/>
    <w:p w:rsidR="002702C3" w:rsidRDefault="002702C3"/>
    <w:p w:rsidR="002702C3" w:rsidRDefault="002702C3"/>
    <w:p w:rsidR="002702C3" w:rsidRDefault="002702C3"/>
    <w:p w:rsidR="002702C3" w:rsidRDefault="002702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1B" w:rsidRDefault="0090281B">
    <w:pPr>
      <w:pStyle w:val="Kopfzeile"/>
    </w:pPr>
  </w:p>
  <w:p w:rsidR="0090281B" w:rsidRDefault="0090281B"/>
  <w:p w:rsidR="0090281B" w:rsidRDefault="0090281B"/>
  <w:p w:rsidR="0090281B" w:rsidRDefault="0090281B"/>
  <w:p w:rsidR="0090281B" w:rsidRDefault="0090281B"/>
  <w:p w:rsidR="0090281B" w:rsidRDefault="0090281B"/>
  <w:p w:rsidR="0090281B" w:rsidRDefault="0090281B"/>
  <w:p w:rsidR="0090281B" w:rsidRDefault="009028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0281B" w:rsidRPr="00FC4C21" w:rsidTr="0003613B">
      <w:trPr>
        <w:trHeight w:val="272"/>
      </w:trPr>
      <w:tc>
        <w:tcPr>
          <w:tcW w:w="6946" w:type="dxa"/>
        </w:tcPr>
        <w:p w:rsidR="0090281B" w:rsidRPr="00FC4C21" w:rsidRDefault="0090281B" w:rsidP="00650060">
          <w:pPr>
            <w:pStyle w:val="0berschrift4"/>
            <w:rPr>
              <w:sz w:val="20"/>
            </w:rPr>
          </w:pPr>
          <w:r w:rsidRPr="00FC4C21">
            <w:rPr>
              <w:noProof/>
              <w:sz w:val="20"/>
            </w:rPr>
            <mc:AlternateContent>
              <mc:Choice Requires="wps">
                <w:drawing>
                  <wp:anchor distT="0" distB="0" distL="114300" distR="114300" simplePos="0" relativeHeight="251657728" behindDoc="0" locked="0" layoutInCell="1" allowOverlap="1" wp14:anchorId="3653B09A" wp14:editId="43AAD3E5">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81B" w:rsidRDefault="0090281B"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0"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90281B" w:rsidRDefault="0090281B" w:rsidP="00EE4AFB">
                          <w:pPr>
                            <w:pStyle w:val="RahmenCopyrightvermerk"/>
                            <w:jc w:val="left"/>
                            <w:rPr>
                              <w:rFonts w:cs="Arial"/>
                            </w:rPr>
                          </w:pPr>
                        </w:p>
                      </w:txbxContent>
                    </v:textbox>
                    <w10:wrap anchorx="margin"/>
                  </v:shape>
                </w:pict>
              </mc:Fallback>
            </mc:AlternateContent>
          </w:r>
          <w:r>
            <w:rPr>
              <w:sz w:val="20"/>
            </w:rPr>
            <w:t>Deutschland und Polen nach dem Versailler Vertrag</w:t>
          </w:r>
        </w:p>
      </w:tc>
      <w:tc>
        <w:tcPr>
          <w:tcW w:w="2767" w:type="dxa"/>
          <w:gridSpan w:val="2"/>
        </w:tcPr>
        <w:p w:rsidR="0090281B" w:rsidRPr="00FC4C21" w:rsidRDefault="0090281B" w:rsidP="00FC4C21">
          <w:pPr>
            <w:pStyle w:val="0berschrift4"/>
            <w:jc w:val="center"/>
            <w:rPr>
              <w:sz w:val="20"/>
            </w:rPr>
          </w:pPr>
          <w:r w:rsidRPr="00FC4C21">
            <w:rPr>
              <w:b/>
              <w:sz w:val="20"/>
            </w:rPr>
            <w:t>Geschichte</w:t>
          </w:r>
          <w:r w:rsidRPr="00FC4C21">
            <w:rPr>
              <w:rStyle w:val="RahmenSymbol"/>
              <w:sz w:val="20"/>
            </w:rPr>
            <w:t></w:t>
          </w:r>
        </w:p>
      </w:tc>
    </w:tr>
    <w:tr w:rsidR="0090281B" w:rsidRPr="00FC4C21" w:rsidTr="0003613B">
      <w:trPr>
        <w:trHeight w:val="272"/>
      </w:trPr>
      <w:tc>
        <w:tcPr>
          <w:tcW w:w="8714" w:type="dxa"/>
          <w:gridSpan w:val="2"/>
        </w:tcPr>
        <w:p w:rsidR="0090281B" w:rsidRPr="00FC4C21" w:rsidRDefault="0090281B" w:rsidP="0003613B">
          <w:pPr>
            <w:pStyle w:val="1Standardflietext"/>
            <w:tabs>
              <w:tab w:val="left" w:pos="2100"/>
            </w:tabs>
            <w:spacing w:after="0"/>
            <w:rPr>
              <w:i/>
              <w:sz w:val="20"/>
            </w:rPr>
          </w:pPr>
          <w:r w:rsidRPr="00FC4C21">
            <w:rPr>
              <w:i/>
              <w:sz w:val="20"/>
            </w:rPr>
            <w:tab/>
          </w:r>
        </w:p>
      </w:tc>
      <w:tc>
        <w:tcPr>
          <w:tcW w:w="999" w:type="dxa"/>
        </w:tcPr>
        <w:p w:rsidR="0090281B" w:rsidRPr="00FC4C21" w:rsidRDefault="0090281B" w:rsidP="0003613B">
          <w:pPr>
            <w:pStyle w:val="RahmenKopfzeilerechts"/>
            <w:rPr>
              <w:rStyle w:val="RahmenKopfzeilerechtsZchnZchn"/>
              <w:i/>
              <w:sz w:val="20"/>
              <w:szCs w:val="20"/>
            </w:rPr>
          </w:pPr>
        </w:p>
      </w:tc>
    </w:tr>
  </w:tbl>
  <w:p w:rsidR="0090281B" w:rsidRPr="00FC4C21" w:rsidRDefault="0090281B" w:rsidP="002B4F3B">
    <w:pPr>
      <w:pStyle w:val="RahmenKopfzeileSubtitel"/>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CF7367"/>
    <w:multiLevelType w:val="hybridMultilevel"/>
    <w:tmpl w:val="5F604942"/>
    <w:lvl w:ilvl="0" w:tplc="E7F665A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2">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5">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7"/>
  </w:num>
  <w:num w:numId="2">
    <w:abstractNumId w:val="32"/>
  </w:num>
  <w:num w:numId="3">
    <w:abstractNumId w:val="26"/>
  </w:num>
  <w:num w:numId="4">
    <w:abstractNumId w:val="35"/>
  </w:num>
  <w:num w:numId="5">
    <w:abstractNumId w:val="41"/>
  </w:num>
  <w:num w:numId="6">
    <w:abstractNumId w:val="29"/>
  </w:num>
  <w:num w:numId="7">
    <w:abstractNumId w:val="21"/>
  </w:num>
  <w:num w:numId="8">
    <w:abstractNumId w:val="42"/>
  </w:num>
  <w:num w:numId="9">
    <w:abstractNumId w:val="38"/>
  </w:num>
  <w:num w:numId="10">
    <w:abstractNumId w:val="25"/>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9"/>
  </w:num>
  <w:num w:numId="23">
    <w:abstractNumId w:val="27"/>
  </w:num>
  <w:num w:numId="24">
    <w:abstractNumId w:val="23"/>
  </w:num>
  <w:num w:numId="25">
    <w:abstractNumId w:val="24"/>
  </w:num>
  <w:num w:numId="26">
    <w:abstractNumId w:val="28"/>
  </w:num>
  <w:num w:numId="27">
    <w:abstractNumId w:val="36"/>
  </w:num>
  <w:num w:numId="28">
    <w:abstractNumId w:val="18"/>
  </w:num>
  <w:num w:numId="29">
    <w:abstractNumId w:val="34"/>
  </w:num>
  <w:num w:numId="30">
    <w:abstractNumId w:val="30"/>
  </w:num>
  <w:num w:numId="31">
    <w:abstractNumId w:val="40"/>
  </w:num>
  <w:num w:numId="32">
    <w:abstractNumId w:val="12"/>
  </w:num>
  <w:num w:numId="33">
    <w:abstractNumId w:val="31"/>
  </w:num>
  <w:num w:numId="34">
    <w:abstractNumId w:val="11"/>
  </w:num>
  <w:num w:numId="35">
    <w:abstractNumId w:val="14"/>
  </w:num>
  <w:num w:numId="36">
    <w:abstractNumId w:val="16"/>
  </w:num>
  <w:num w:numId="37">
    <w:abstractNumId w:val="33"/>
  </w:num>
  <w:num w:numId="38">
    <w:abstractNumId w:val="17"/>
  </w:num>
  <w:num w:numId="39">
    <w:abstractNumId w:val="22"/>
  </w:num>
  <w:num w:numId="40">
    <w:abstractNumId w:val="10"/>
  </w:num>
  <w:num w:numId="41">
    <w:abstractNumId w:val="20"/>
  </w:num>
  <w:num w:numId="42">
    <w:abstractNumId w:val="39"/>
  </w:num>
  <w:num w:numId="4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4E"/>
    <w:rsid w:val="000036D7"/>
    <w:rsid w:val="00006EFE"/>
    <w:rsid w:val="00010283"/>
    <w:rsid w:val="00012FD5"/>
    <w:rsid w:val="00023CF4"/>
    <w:rsid w:val="00025B8C"/>
    <w:rsid w:val="00026C0A"/>
    <w:rsid w:val="00026FB6"/>
    <w:rsid w:val="000270EA"/>
    <w:rsid w:val="00035908"/>
    <w:rsid w:val="0003613B"/>
    <w:rsid w:val="000370C4"/>
    <w:rsid w:val="00041780"/>
    <w:rsid w:val="00042E88"/>
    <w:rsid w:val="000434CE"/>
    <w:rsid w:val="000510C9"/>
    <w:rsid w:val="000525AE"/>
    <w:rsid w:val="000564E4"/>
    <w:rsid w:val="00061DF3"/>
    <w:rsid w:val="0006254E"/>
    <w:rsid w:val="00062CB1"/>
    <w:rsid w:val="00063791"/>
    <w:rsid w:val="0006600B"/>
    <w:rsid w:val="0006678C"/>
    <w:rsid w:val="00067F73"/>
    <w:rsid w:val="00070934"/>
    <w:rsid w:val="000720FC"/>
    <w:rsid w:val="00076C38"/>
    <w:rsid w:val="000819A0"/>
    <w:rsid w:val="000922CE"/>
    <w:rsid w:val="00092C6C"/>
    <w:rsid w:val="00096B03"/>
    <w:rsid w:val="000A21DE"/>
    <w:rsid w:val="000A6685"/>
    <w:rsid w:val="000C26CC"/>
    <w:rsid w:val="000C6C75"/>
    <w:rsid w:val="000D5CEC"/>
    <w:rsid w:val="000E0DE3"/>
    <w:rsid w:val="000E27EF"/>
    <w:rsid w:val="000E3D24"/>
    <w:rsid w:val="000E528E"/>
    <w:rsid w:val="000F2509"/>
    <w:rsid w:val="000F50A8"/>
    <w:rsid w:val="000F6C38"/>
    <w:rsid w:val="000F7CB4"/>
    <w:rsid w:val="00102B84"/>
    <w:rsid w:val="0010533B"/>
    <w:rsid w:val="001056AB"/>
    <w:rsid w:val="00107625"/>
    <w:rsid w:val="00114C43"/>
    <w:rsid w:val="00115604"/>
    <w:rsid w:val="00121293"/>
    <w:rsid w:val="00127484"/>
    <w:rsid w:val="00127FEC"/>
    <w:rsid w:val="00132531"/>
    <w:rsid w:val="00137907"/>
    <w:rsid w:val="0014005F"/>
    <w:rsid w:val="0014256E"/>
    <w:rsid w:val="0014421F"/>
    <w:rsid w:val="00144E39"/>
    <w:rsid w:val="00146FFD"/>
    <w:rsid w:val="0014714B"/>
    <w:rsid w:val="001506D1"/>
    <w:rsid w:val="00153785"/>
    <w:rsid w:val="00161CAE"/>
    <w:rsid w:val="001624A8"/>
    <w:rsid w:val="0016339B"/>
    <w:rsid w:val="0016430F"/>
    <w:rsid w:val="001674F1"/>
    <w:rsid w:val="00170023"/>
    <w:rsid w:val="00182CDD"/>
    <w:rsid w:val="00195BC8"/>
    <w:rsid w:val="0019678C"/>
    <w:rsid w:val="001B3E83"/>
    <w:rsid w:val="001B5670"/>
    <w:rsid w:val="001C54F5"/>
    <w:rsid w:val="001C70A0"/>
    <w:rsid w:val="001D59F6"/>
    <w:rsid w:val="001E07A0"/>
    <w:rsid w:val="001E1443"/>
    <w:rsid w:val="001E1C51"/>
    <w:rsid w:val="001E26DA"/>
    <w:rsid w:val="001E6769"/>
    <w:rsid w:val="001F1FE7"/>
    <w:rsid w:val="001F367B"/>
    <w:rsid w:val="001F59B2"/>
    <w:rsid w:val="001F70F2"/>
    <w:rsid w:val="002017E5"/>
    <w:rsid w:val="0021125B"/>
    <w:rsid w:val="00211E17"/>
    <w:rsid w:val="00213F0A"/>
    <w:rsid w:val="002143E3"/>
    <w:rsid w:val="00215422"/>
    <w:rsid w:val="00220F24"/>
    <w:rsid w:val="00231684"/>
    <w:rsid w:val="00231F30"/>
    <w:rsid w:val="00232F84"/>
    <w:rsid w:val="002369BD"/>
    <w:rsid w:val="0024218A"/>
    <w:rsid w:val="0024442C"/>
    <w:rsid w:val="00245AB4"/>
    <w:rsid w:val="00251BD7"/>
    <w:rsid w:val="00253B0C"/>
    <w:rsid w:val="00255097"/>
    <w:rsid w:val="002574F4"/>
    <w:rsid w:val="00257EB8"/>
    <w:rsid w:val="00261D70"/>
    <w:rsid w:val="002702C3"/>
    <w:rsid w:val="00276128"/>
    <w:rsid w:val="00280069"/>
    <w:rsid w:val="00282D72"/>
    <w:rsid w:val="002833C2"/>
    <w:rsid w:val="002A3A65"/>
    <w:rsid w:val="002A4899"/>
    <w:rsid w:val="002B0990"/>
    <w:rsid w:val="002B0CBD"/>
    <w:rsid w:val="002B4F3B"/>
    <w:rsid w:val="002C3511"/>
    <w:rsid w:val="002C39D9"/>
    <w:rsid w:val="002C49C5"/>
    <w:rsid w:val="002D0731"/>
    <w:rsid w:val="002D1404"/>
    <w:rsid w:val="002D153E"/>
    <w:rsid w:val="002D48FF"/>
    <w:rsid w:val="002D5A9D"/>
    <w:rsid w:val="002D64E8"/>
    <w:rsid w:val="002D7662"/>
    <w:rsid w:val="002E2086"/>
    <w:rsid w:val="002E31E5"/>
    <w:rsid w:val="002E3CBA"/>
    <w:rsid w:val="002E531D"/>
    <w:rsid w:val="002F0267"/>
    <w:rsid w:val="002F0D3A"/>
    <w:rsid w:val="002F1406"/>
    <w:rsid w:val="002F54A5"/>
    <w:rsid w:val="00303CDA"/>
    <w:rsid w:val="00304729"/>
    <w:rsid w:val="00304D6E"/>
    <w:rsid w:val="00305CB9"/>
    <w:rsid w:val="00311278"/>
    <w:rsid w:val="003154FB"/>
    <w:rsid w:val="00324F76"/>
    <w:rsid w:val="00334BDA"/>
    <w:rsid w:val="00340C99"/>
    <w:rsid w:val="0034341F"/>
    <w:rsid w:val="00351D2F"/>
    <w:rsid w:val="003524B3"/>
    <w:rsid w:val="00352A61"/>
    <w:rsid w:val="00355522"/>
    <w:rsid w:val="00356A49"/>
    <w:rsid w:val="0036304A"/>
    <w:rsid w:val="00365669"/>
    <w:rsid w:val="00383D1A"/>
    <w:rsid w:val="00383FB9"/>
    <w:rsid w:val="00386141"/>
    <w:rsid w:val="00387FBF"/>
    <w:rsid w:val="003A090D"/>
    <w:rsid w:val="003B2910"/>
    <w:rsid w:val="003B59DB"/>
    <w:rsid w:val="003B6172"/>
    <w:rsid w:val="003B638C"/>
    <w:rsid w:val="003B7477"/>
    <w:rsid w:val="003C036E"/>
    <w:rsid w:val="003C3A6F"/>
    <w:rsid w:val="003C5111"/>
    <w:rsid w:val="003C6B13"/>
    <w:rsid w:val="003D2756"/>
    <w:rsid w:val="003D363A"/>
    <w:rsid w:val="003D5D96"/>
    <w:rsid w:val="003D705F"/>
    <w:rsid w:val="003E1202"/>
    <w:rsid w:val="003E1A75"/>
    <w:rsid w:val="003E26FF"/>
    <w:rsid w:val="003E2862"/>
    <w:rsid w:val="003E29FB"/>
    <w:rsid w:val="003E2D0C"/>
    <w:rsid w:val="003E2E29"/>
    <w:rsid w:val="003E2E7F"/>
    <w:rsid w:val="003E4DD2"/>
    <w:rsid w:val="003E5059"/>
    <w:rsid w:val="003E5245"/>
    <w:rsid w:val="003F19DC"/>
    <w:rsid w:val="003F21D9"/>
    <w:rsid w:val="003F2BAA"/>
    <w:rsid w:val="003F2D0F"/>
    <w:rsid w:val="003F367E"/>
    <w:rsid w:val="003F3A8B"/>
    <w:rsid w:val="00402ED5"/>
    <w:rsid w:val="00403829"/>
    <w:rsid w:val="0041061A"/>
    <w:rsid w:val="00413E34"/>
    <w:rsid w:val="0042027D"/>
    <w:rsid w:val="0042038D"/>
    <w:rsid w:val="00421F52"/>
    <w:rsid w:val="00422A03"/>
    <w:rsid w:val="00423381"/>
    <w:rsid w:val="00425421"/>
    <w:rsid w:val="00425D85"/>
    <w:rsid w:val="00425DEE"/>
    <w:rsid w:val="00426C09"/>
    <w:rsid w:val="004346E1"/>
    <w:rsid w:val="0043659F"/>
    <w:rsid w:val="00441489"/>
    <w:rsid w:val="00442223"/>
    <w:rsid w:val="0044301C"/>
    <w:rsid w:val="004430C0"/>
    <w:rsid w:val="00445003"/>
    <w:rsid w:val="00445E73"/>
    <w:rsid w:val="00450A3A"/>
    <w:rsid w:val="00451292"/>
    <w:rsid w:val="00451CE2"/>
    <w:rsid w:val="00454670"/>
    <w:rsid w:val="00460316"/>
    <w:rsid w:val="004613CD"/>
    <w:rsid w:val="004624C4"/>
    <w:rsid w:val="00463984"/>
    <w:rsid w:val="00464BA1"/>
    <w:rsid w:val="00466BA5"/>
    <w:rsid w:val="00473918"/>
    <w:rsid w:val="00474204"/>
    <w:rsid w:val="00477C69"/>
    <w:rsid w:val="004832FF"/>
    <w:rsid w:val="00483EFD"/>
    <w:rsid w:val="00485666"/>
    <w:rsid w:val="00487F32"/>
    <w:rsid w:val="0049242E"/>
    <w:rsid w:val="00495876"/>
    <w:rsid w:val="00496EA9"/>
    <w:rsid w:val="004B02E4"/>
    <w:rsid w:val="004B07FD"/>
    <w:rsid w:val="004B2857"/>
    <w:rsid w:val="004B56B9"/>
    <w:rsid w:val="004B7716"/>
    <w:rsid w:val="004C6250"/>
    <w:rsid w:val="004D4E71"/>
    <w:rsid w:val="004E0620"/>
    <w:rsid w:val="004E7BDB"/>
    <w:rsid w:val="004F1735"/>
    <w:rsid w:val="004F1A91"/>
    <w:rsid w:val="004F2929"/>
    <w:rsid w:val="004F3FDF"/>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711F5"/>
    <w:rsid w:val="00581561"/>
    <w:rsid w:val="0058213D"/>
    <w:rsid w:val="00584554"/>
    <w:rsid w:val="00587FD4"/>
    <w:rsid w:val="0059450C"/>
    <w:rsid w:val="00595A31"/>
    <w:rsid w:val="00595CF9"/>
    <w:rsid w:val="00595E8F"/>
    <w:rsid w:val="005966FF"/>
    <w:rsid w:val="005A3093"/>
    <w:rsid w:val="005A4084"/>
    <w:rsid w:val="005B34B7"/>
    <w:rsid w:val="005B55B6"/>
    <w:rsid w:val="005B680F"/>
    <w:rsid w:val="005C3FBF"/>
    <w:rsid w:val="005C43B6"/>
    <w:rsid w:val="005C7FCC"/>
    <w:rsid w:val="005D06A9"/>
    <w:rsid w:val="005D07BC"/>
    <w:rsid w:val="005D12F6"/>
    <w:rsid w:val="005D1D7C"/>
    <w:rsid w:val="005D25BF"/>
    <w:rsid w:val="005E1DEF"/>
    <w:rsid w:val="005E2790"/>
    <w:rsid w:val="005E3001"/>
    <w:rsid w:val="005E345A"/>
    <w:rsid w:val="005E4D7D"/>
    <w:rsid w:val="005E7F16"/>
    <w:rsid w:val="005F0E25"/>
    <w:rsid w:val="005F6FCA"/>
    <w:rsid w:val="00600EEF"/>
    <w:rsid w:val="006127F1"/>
    <w:rsid w:val="006132E0"/>
    <w:rsid w:val="00614716"/>
    <w:rsid w:val="0061674C"/>
    <w:rsid w:val="00620DEC"/>
    <w:rsid w:val="00621AF2"/>
    <w:rsid w:val="006233F1"/>
    <w:rsid w:val="00623DF5"/>
    <w:rsid w:val="00623E24"/>
    <w:rsid w:val="0062499F"/>
    <w:rsid w:val="00626CF1"/>
    <w:rsid w:val="00636857"/>
    <w:rsid w:val="006409B0"/>
    <w:rsid w:val="00643AED"/>
    <w:rsid w:val="00645C86"/>
    <w:rsid w:val="00650060"/>
    <w:rsid w:val="00653220"/>
    <w:rsid w:val="006576C8"/>
    <w:rsid w:val="00657A78"/>
    <w:rsid w:val="00657B17"/>
    <w:rsid w:val="00662F5C"/>
    <w:rsid w:val="0066793F"/>
    <w:rsid w:val="00670EC9"/>
    <w:rsid w:val="00671796"/>
    <w:rsid w:val="00681B71"/>
    <w:rsid w:val="00685629"/>
    <w:rsid w:val="00687610"/>
    <w:rsid w:val="006902A7"/>
    <w:rsid w:val="00692596"/>
    <w:rsid w:val="006A572A"/>
    <w:rsid w:val="006A6EFC"/>
    <w:rsid w:val="006B0620"/>
    <w:rsid w:val="006B6676"/>
    <w:rsid w:val="006B7C96"/>
    <w:rsid w:val="006C04DE"/>
    <w:rsid w:val="006C43AA"/>
    <w:rsid w:val="006C78DB"/>
    <w:rsid w:val="006C7E1C"/>
    <w:rsid w:val="006D0F26"/>
    <w:rsid w:val="006D1C9C"/>
    <w:rsid w:val="006E2EA3"/>
    <w:rsid w:val="006E4E12"/>
    <w:rsid w:val="006F551D"/>
    <w:rsid w:val="0070215E"/>
    <w:rsid w:val="0070246E"/>
    <w:rsid w:val="0070342E"/>
    <w:rsid w:val="00705E3C"/>
    <w:rsid w:val="007060CF"/>
    <w:rsid w:val="007116B3"/>
    <w:rsid w:val="00717FF9"/>
    <w:rsid w:val="00721675"/>
    <w:rsid w:val="00725083"/>
    <w:rsid w:val="00725122"/>
    <w:rsid w:val="00730388"/>
    <w:rsid w:val="007337C0"/>
    <w:rsid w:val="00736647"/>
    <w:rsid w:val="0074383E"/>
    <w:rsid w:val="007538D5"/>
    <w:rsid w:val="007552AA"/>
    <w:rsid w:val="0076191E"/>
    <w:rsid w:val="00763E59"/>
    <w:rsid w:val="0076407F"/>
    <w:rsid w:val="00770A83"/>
    <w:rsid w:val="00770FD4"/>
    <w:rsid w:val="00781331"/>
    <w:rsid w:val="007840C2"/>
    <w:rsid w:val="007871BC"/>
    <w:rsid w:val="00791A7C"/>
    <w:rsid w:val="00793D4C"/>
    <w:rsid w:val="007951EC"/>
    <w:rsid w:val="00797021"/>
    <w:rsid w:val="007A0DF3"/>
    <w:rsid w:val="007A1DB6"/>
    <w:rsid w:val="007A293C"/>
    <w:rsid w:val="007A2F2F"/>
    <w:rsid w:val="007A5025"/>
    <w:rsid w:val="007C2BCF"/>
    <w:rsid w:val="007C73A7"/>
    <w:rsid w:val="007D10DF"/>
    <w:rsid w:val="007D2A43"/>
    <w:rsid w:val="007D4CAD"/>
    <w:rsid w:val="007D5F06"/>
    <w:rsid w:val="007D668D"/>
    <w:rsid w:val="007E0AEA"/>
    <w:rsid w:val="007E0F57"/>
    <w:rsid w:val="007F1386"/>
    <w:rsid w:val="007F14F4"/>
    <w:rsid w:val="007F1F44"/>
    <w:rsid w:val="007F211B"/>
    <w:rsid w:val="007F5A4A"/>
    <w:rsid w:val="008016A2"/>
    <w:rsid w:val="008059E8"/>
    <w:rsid w:val="00811365"/>
    <w:rsid w:val="00815DD0"/>
    <w:rsid w:val="00817D12"/>
    <w:rsid w:val="008228B5"/>
    <w:rsid w:val="008246EB"/>
    <w:rsid w:val="0082598C"/>
    <w:rsid w:val="00832E76"/>
    <w:rsid w:val="00835A4E"/>
    <w:rsid w:val="008373A4"/>
    <w:rsid w:val="008416B1"/>
    <w:rsid w:val="00842A0D"/>
    <w:rsid w:val="00842D71"/>
    <w:rsid w:val="00845A23"/>
    <w:rsid w:val="008524CA"/>
    <w:rsid w:val="008527A7"/>
    <w:rsid w:val="00856387"/>
    <w:rsid w:val="00863AE2"/>
    <w:rsid w:val="008647FF"/>
    <w:rsid w:val="0086596D"/>
    <w:rsid w:val="0087090A"/>
    <w:rsid w:val="008726D2"/>
    <w:rsid w:val="0087362D"/>
    <w:rsid w:val="00877367"/>
    <w:rsid w:val="008835DC"/>
    <w:rsid w:val="008849E7"/>
    <w:rsid w:val="00886131"/>
    <w:rsid w:val="00887A7D"/>
    <w:rsid w:val="00887C54"/>
    <w:rsid w:val="008A2DF7"/>
    <w:rsid w:val="008A2E2A"/>
    <w:rsid w:val="008B02A9"/>
    <w:rsid w:val="008B0642"/>
    <w:rsid w:val="008B389E"/>
    <w:rsid w:val="008B769E"/>
    <w:rsid w:val="008C277C"/>
    <w:rsid w:val="008C31A1"/>
    <w:rsid w:val="008C34C5"/>
    <w:rsid w:val="008C77F4"/>
    <w:rsid w:val="008D08AA"/>
    <w:rsid w:val="008D3F4B"/>
    <w:rsid w:val="008D66C8"/>
    <w:rsid w:val="008F21AF"/>
    <w:rsid w:val="008F70EE"/>
    <w:rsid w:val="008F7926"/>
    <w:rsid w:val="0090281B"/>
    <w:rsid w:val="0090325E"/>
    <w:rsid w:val="009067D5"/>
    <w:rsid w:val="009129C1"/>
    <w:rsid w:val="00916304"/>
    <w:rsid w:val="00922FE0"/>
    <w:rsid w:val="009236D0"/>
    <w:rsid w:val="009252A9"/>
    <w:rsid w:val="009252B7"/>
    <w:rsid w:val="00932B3F"/>
    <w:rsid w:val="00933B6C"/>
    <w:rsid w:val="00933E16"/>
    <w:rsid w:val="00934AB7"/>
    <w:rsid w:val="0093529E"/>
    <w:rsid w:val="00935A77"/>
    <w:rsid w:val="009378BB"/>
    <w:rsid w:val="0094147E"/>
    <w:rsid w:val="00942872"/>
    <w:rsid w:val="00946B15"/>
    <w:rsid w:val="00947D43"/>
    <w:rsid w:val="00956EF2"/>
    <w:rsid w:val="00962939"/>
    <w:rsid w:val="00963518"/>
    <w:rsid w:val="00971E69"/>
    <w:rsid w:val="00971E9C"/>
    <w:rsid w:val="00981446"/>
    <w:rsid w:val="00982CDD"/>
    <w:rsid w:val="0098656D"/>
    <w:rsid w:val="00990706"/>
    <w:rsid w:val="0099163E"/>
    <w:rsid w:val="0099491D"/>
    <w:rsid w:val="0099654D"/>
    <w:rsid w:val="009A74FD"/>
    <w:rsid w:val="009B3134"/>
    <w:rsid w:val="009C2A3F"/>
    <w:rsid w:val="009C4B06"/>
    <w:rsid w:val="009C5612"/>
    <w:rsid w:val="009D799A"/>
    <w:rsid w:val="009F6231"/>
    <w:rsid w:val="00A00688"/>
    <w:rsid w:val="00A03E9F"/>
    <w:rsid w:val="00A119F8"/>
    <w:rsid w:val="00A134F7"/>
    <w:rsid w:val="00A137FE"/>
    <w:rsid w:val="00A14B73"/>
    <w:rsid w:val="00A206EF"/>
    <w:rsid w:val="00A211DC"/>
    <w:rsid w:val="00A238D8"/>
    <w:rsid w:val="00A2466F"/>
    <w:rsid w:val="00A323A3"/>
    <w:rsid w:val="00A353D8"/>
    <w:rsid w:val="00A36401"/>
    <w:rsid w:val="00A37CDA"/>
    <w:rsid w:val="00A47ED1"/>
    <w:rsid w:val="00A529A5"/>
    <w:rsid w:val="00A53B22"/>
    <w:rsid w:val="00A54729"/>
    <w:rsid w:val="00A62797"/>
    <w:rsid w:val="00A644E6"/>
    <w:rsid w:val="00A6623D"/>
    <w:rsid w:val="00A71A01"/>
    <w:rsid w:val="00A74B28"/>
    <w:rsid w:val="00A7798C"/>
    <w:rsid w:val="00A857FD"/>
    <w:rsid w:val="00A85CF5"/>
    <w:rsid w:val="00A8770A"/>
    <w:rsid w:val="00A90E52"/>
    <w:rsid w:val="00A90E9F"/>
    <w:rsid w:val="00A9197C"/>
    <w:rsid w:val="00A92DE0"/>
    <w:rsid w:val="00A971C7"/>
    <w:rsid w:val="00AA2221"/>
    <w:rsid w:val="00AA6038"/>
    <w:rsid w:val="00AA6B79"/>
    <w:rsid w:val="00AD66BF"/>
    <w:rsid w:val="00AD74AC"/>
    <w:rsid w:val="00AE4D7F"/>
    <w:rsid w:val="00AE6A78"/>
    <w:rsid w:val="00AF063F"/>
    <w:rsid w:val="00AF24A9"/>
    <w:rsid w:val="00AF5811"/>
    <w:rsid w:val="00AF7FCE"/>
    <w:rsid w:val="00B055ED"/>
    <w:rsid w:val="00B15216"/>
    <w:rsid w:val="00B15460"/>
    <w:rsid w:val="00B31DAE"/>
    <w:rsid w:val="00B37CAF"/>
    <w:rsid w:val="00B408ED"/>
    <w:rsid w:val="00B40C33"/>
    <w:rsid w:val="00B4144D"/>
    <w:rsid w:val="00B41E59"/>
    <w:rsid w:val="00B43C65"/>
    <w:rsid w:val="00B461A0"/>
    <w:rsid w:val="00B47511"/>
    <w:rsid w:val="00B53726"/>
    <w:rsid w:val="00B60BB9"/>
    <w:rsid w:val="00B642E2"/>
    <w:rsid w:val="00B64402"/>
    <w:rsid w:val="00B65F79"/>
    <w:rsid w:val="00B660BA"/>
    <w:rsid w:val="00B85A00"/>
    <w:rsid w:val="00B86B2C"/>
    <w:rsid w:val="00B9069C"/>
    <w:rsid w:val="00B916B5"/>
    <w:rsid w:val="00B92B5A"/>
    <w:rsid w:val="00B934B0"/>
    <w:rsid w:val="00BA1ED5"/>
    <w:rsid w:val="00BA22C2"/>
    <w:rsid w:val="00BA533E"/>
    <w:rsid w:val="00BA6BC1"/>
    <w:rsid w:val="00BA70CB"/>
    <w:rsid w:val="00BA7F97"/>
    <w:rsid w:val="00BB7E88"/>
    <w:rsid w:val="00BC30A2"/>
    <w:rsid w:val="00BC5692"/>
    <w:rsid w:val="00BD4A5A"/>
    <w:rsid w:val="00BD77C4"/>
    <w:rsid w:val="00BE46B3"/>
    <w:rsid w:val="00BE4C6A"/>
    <w:rsid w:val="00BE6C78"/>
    <w:rsid w:val="00BF18B1"/>
    <w:rsid w:val="00BF71E9"/>
    <w:rsid w:val="00C00B4E"/>
    <w:rsid w:val="00C02725"/>
    <w:rsid w:val="00C030FF"/>
    <w:rsid w:val="00C04AC4"/>
    <w:rsid w:val="00C06C7B"/>
    <w:rsid w:val="00C10AD7"/>
    <w:rsid w:val="00C204B5"/>
    <w:rsid w:val="00C27DC9"/>
    <w:rsid w:val="00C33D11"/>
    <w:rsid w:val="00C404F9"/>
    <w:rsid w:val="00C40996"/>
    <w:rsid w:val="00C40BEB"/>
    <w:rsid w:val="00C43B9E"/>
    <w:rsid w:val="00C45274"/>
    <w:rsid w:val="00C477F2"/>
    <w:rsid w:val="00C5487D"/>
    <w:rsid w:val="00C562DE"/>
    <w:rsid w:val="00C60511"/>
    <w:rsid w:val="00C6166A"/>
    <w:rsid w:val="00C67B21"/>
    <w:rsid w:val="00C71DFD"/>
    <w:rsid w:val="00C73F55"/>
    <w:rsid w:val="00C83EA2"/>
    <w:rsid w:val="00C84B50"/>
    <w:rsid w:val="00C8787E"/>
    <w:rsid w:val="00C87972"/>
    <w:rsid w:val="00C90C02"/>
    <w:rsid w:val="00C965A7"/>
    <w:rsid w:val="00CA0005"/>
    <w:rsid w:val="00CA1933"/>
    <w:rsid w:val="00CA2AB7"/>
    <w:rsid w:val="00CA2C7C"/>
    <w:rsid w:val="00CA5837"/>
    <w:rsid w:val="00CB40FC"/>
    <w:rsid w:val="00CB4729"/>
    <w:rsid w:val="00CC019D"/>
    <w:rsid w:val="00CC3FFC"/>
    <w:rsid w:val="00CC517B"/>
    <w:rsid w:val="00CC5FBE"/>
    <w:rsid w:val="00CC6969"/>
    <w:rsid w:val="00CD1001"/>
    <w:rsid w:val="00CD3EF6"/>
    <w:rsid w:val="00CD5F8B"/>
    <w:rsid w:val="00CE0B7A"/>
    <w:rsid w:val="00CE15F5"/>
    <w:rsid w:val="00CE1948"/>
    <w:rsid w:val="00CE1EAE"/>
    <w:rsid w:val="00CE3034"/>
    <w:rsid w:val="00CE39D8"/>
    <w:rsid w:val="00CF2DBE"/>
    <w:rsid w:val="00D030E9"/>
    <w:rsid w:val="00D0391B"/>
    <w:rsid w:val="00D0486D"/>
    <w:rsid w:val="00D05730"/>
    <w:rsid w:val="00D12F13"/>
    <w:rsid w:val="00D2266B"/>
    <w:rsid w:val="00D24CC8"/>
    <w:rsid w:val="00D4183D"/>
    <w:rsid w:val="00D442D6"/>
    <w:rsid w:val="00D44D16"/>
    <w:rsid w:val="00D538D1"/>
    <w:rsid w:val="00D5478E"/>
    <w:rsid w:val="00D54E85"/>
    <w:rsid w:val="00D64EE3"/>
    <w:rsid w:val="00D66C66"/>
    <w:rsid w:val="00D66E0E"/>
    <w:rsid w:val="00D67214"/>
    <w:rsid w:val="00D67454"/>
    <w:rsid w:val="00D71861"/>
    <w:rsid w:val="00D77235"/>
    <w:rsid w:val="00D814C9"/>
    <w:rsid w:val="00D81D11"/>
    <w:rsid w:val="00D8274D"/>
    <w:rsid w:val="00D8537F"/>
    <w:rsid w:val="00D877A5"/>
    <w:rsid w:val="00D92B2B"/>
    <w:rsid w:val="00D94327"/>
    <w:rsid w:val="00D94403"/>
    <w:rsid w:val="00D9640D"/>
    <w:rsid w:val="00D97509"/>
    <w:rsid w:val="00DB12AA"/>
    <w:rsid w:val="00DB24EB"/>
    <w:rsid w:val="00DB26D4"/>
    <w:rsid w:val="00DB3AEC"/>
    <w:rsid w:val="00DC3001"/>
    <w:rsid w:val="00DC3D01"/>
    <w:rsid w:val="00DD1B31"/>
    <w:rsid w:val="00DD3B31"/>
    <w:rsid w:val="00DE1DFB"/>
    <w:rsid w:val="00DE660C"/>
    <w:rsid w:val="00DE7CA4"/>
    <w:rsid w:val="00DE7FC9"/>
    <w:rsid w:val="00DF222A"/>
    <w:rsid w:val="00DF42A7"/>
    <w:rsid w:val="00E01A21"/>
    <w:rsid w:val="00E02328"/>
    <w:rsid w:val="00E023D1"/>
    <w:rsid w:val="00E111A5"/>
    <w:rsid w:val="00E15897"/>
    <w:rsid w:val="00E31945"/>
    <w:rsid w:val="00E31F9D"/>
    <w:rsid w:val="00E3413C"/>
    <w:rsid w:val="00E34EA8"/>
    <w:rsid w:val="00E35E04"/>
    <w:rsid w:val="00E3649D"/>
    <w:rsid w:val="00E3684A"/>
    <w:rsid w:val="00E377C8"/>
    <w:rsid w:val="00E4050F"/>
    <w:rsid w:val="00E44005"/>
    <w:rsid w:val="00E5065B"/>
    <w:rsid w:val="00E62873"/>
    <w:rsid w:val="00E720AD"/>
    <w:rsid w:val="00E72C84"/>
    <w:rsid w:val="00E771C7"/>
    <w:rsid w:val="00E8035B"/>
    <w:rsid w:val="00E96370"/>
    <w:rsid w:val="00E976F1"/>
    <w:rsid w:val="00EA2D1D"/>
    <w:rsid w:val="00EA7067"/>
    <w:rsid w:val="00EB5B97"/>
    <w:rsid w:val="00EC2805"/>
    <w:rsid w:val="00EC2A6E"/>
    <w:rsid w:val="00EC2ABE"/>
    <w:rsid w:val="00EC6126"/>
    <w:rsid w:val="00ED3765"/>
    <w:rsid w:val="00EE0441"/>
    <w:rsid w:val="00EE1668"/>
    <w:rsid w:val="00EE42D0"/>
    <w:rsid w:val="00EE4AFB"/>
    <w:rsid w:val="00EE58C3"/>
    <w:rsid w:val="00EF1810"/>
    <w:rsid w:val="00EF7798"/>
    <w:rsid w:val="00F00C39"/>
    <w:rsid w:val="00F05ADB"/>
    <w:rsid w:val="00F05F07"/>
    <w:rsid w:val="00F06460"/>
    <w:rsid w:val="00F17BD7"/>
    <w:rsid w:val="00F205F5"/>
    <w:rsid w:val="00F249C1"/>
    <w:rsid w:val="00F25174"/>
    <w:rsid w:val="00F2580A"/>
    <w:rsid w:val="00F27B0C"/>
    <w:rsid w:val="00F3227C"/>
    <w:rsid w:val="00F32ED3"/>
    <w:rsid w:val="00F4346E"/>
    <w:rsid w:val="00F5148D"/>
    <w:rsid w:val="00F533A9"/>
    <w:rsid w:val="00F5482F"/>
    <w:rsid w:val="00F55CFF"/>
    <w:rsid w:val="00F60DC7"/>
    <w:rsid w:val="00F6308A"/>
    <w:rsid w:val="00F662DB"/>
    <w:rsid w:val="00F70E96"/>
    <w:rsid w:val="00F801FA"/>
    <w:rsid w:val="00F8127B"/>
    <w:rsid w:val="00F86082"/>
    <w:rsid w:val="00F90B79"/>
    <w:rsid w:val="00F911EF"/>
    <w:rsid w:val="00F91703"/>
    <w:rsid w:val="00F9248B"/>
    <w:rsid w:val="00F9656F"/>
    <w:rsid w:val="00FA41C3"/>
    <w:rsid w:val="00FA50C2"/>
    <w:rsid w:val="00FA6B15"/>
    <w:rsid w:val="00FB09B7"/>
    <w:rsid w:val="00FB144C"/>
    <w:rsid w:val="00FB23BF"/>
    <w:rsid w:val="00FB54BC"/>
    <w:rsid w:val="00FB5BE8"/>
    <w:rsid w:val="00FB6A2A"/>
    <w:rsid w:val="00FB6AB2"/>
    <w:rsid w:val="00FC033E"/>
    <w:rsid w:val="00FC41F7"/>
    <w:rsid w:val="00FC4C21"/>
    <w:rsid w:val="00FC4E30"/>
    <w:rsid w:val="00FC6968"/>
    <w:rsid w:val="00FC71DC"/>
    <w:rsid w:val="00FD0935"/>
    <w:rsid w:val="00FD669C"/>
    <w:rsid w:val="00FD695E"/>
    <w:rsid w:val="00FD6DC3"/>
    <w:rsid w:val="00FD78C9"/>
    <w:rsid w:val="00FE6B69"/>
    <w:rsid w:val="00FF0741"/>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835A4E"/>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uiPriority w:val="99"/>
    <w:qFormat/>
    <w:rsid w:val="00A7798C"/>
    <w:pPr>
      <w:spacing w:line="240" w:lineRule="exact"/>
    </w:pPr>
    <w:rPr>
      <w:sz w:val="22"/>
      <w:szCs w:val="20"/>
    </w:rPr>
  </w:style>
  <w:style w:type="character" w:customStyle="1" w:styleId="1StandardflietextZchnZchn">
    <w:name w:val="* 1 Standardfließtext Zchn Zchn"/>
    <w:link w:val="1Standardflietext"/>
    <w:rsid w:val="00A7798C"/>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uiPriority w:val="99"/>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uiPriority w:val="99"/>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semiHidden/>
    <w:unhideWhenUsed/>
    <w:rsid w:val="00422A03"/>
    <w:pPr>
      <w:spacing w:before="100" w:beforeAutospacing="1" w:after="100" w:afterAutospacing="1" w:line="240" w:lineRule="auto"/>
    </w:pPr>
    <w:rPr>
      <w:rFonts w:ascii="Times New Roman" w:hAnsi="Times New Roman"/>
      <w:sz w:val="24"/>
    </w:rPr>
  </w:style>
  <w:style w:type="paragraph" w:customStyle="1" w:styleId="block">
    <w:name w:val="block"/>
    <w:basedOn w:val="Standard"/>
    <w:rsid w:val="001B5670"/>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835A4E"/>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uiPriority w:val="99"/>
    <w:qFormat/>
    <w:rsid w:val="00A7798C"/>
    <w:pPr>
      <w:spacing w:line="240" w:lineRule="exact"/>
    </w:pPr>
    <w:rPr>
      <w:sz w:val="22"/>
      <w:szCs w:val="20"/>
    </w:rPr>
  </w:style>
  <w:style w:type="character" w:customStyle="1" w:styleId="1StandardflietextZchnZchn">
    <w:name w:val="* 1 Standardfließtext Zchn Zchn"/>
    <w:link w:val="1Standardflietext"/>
    <w:rsid w:val="00A7798C"/>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uiPriority w:val="99"/>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uiPriority w:val="99"/>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semiHidden/>
    <w:unhideWhenUsed/>
    <w:rsid w:val="00422A03"/>
    <w:pPr>
      <w:spacing w:before="100" w:beforeAutospacing="1" w:after="100" w:afterAutospacing="1" w:line="240" w:lineRule="auto"/>
    </w:pPr>
    <w:rPr>
      <w:rFonts w:ascii="Times New Roman" w:hAnsi="Times New Roman"/>
      <w:sz w:val="24"/>
    </w:rPr>
  </w:style>
  <w:style w:type="paragraph" w:customStyle="1" w:styleId="block">
    <w:name w:val="block"/>
    <w:basedOn w:val="Standard"/>
    <w:rsid w:val="001B5670"/>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5495">
      <w:bodyDiv w:val="1"/>
      <w:marLeft w:val="0"/>
      <w:marRight w:val="0"/>
      <w:marTop w:val="0"/>
      <w:marBottom w:val="0"/>
      <w:divBdr>
        <w:top w:val="none" w:sz="0" w:space="0" w:color="auto"/>
        <w:left w:val="none" w:sz="0" w:space="0" w:color="auto"/>
        <w:bottom w:val="none" w:sz="0" w:space="0" w:color="auto"/>
        <w:right w:val="none" w:sz="0" w:space="0" w:color="auto"/>
      </w:divBdr>
    </w:div>
    <w:div w:id="242184972">
      <w:bodyDiv w:val="1"/>
      <w:marLeft w:val="0"/>
      <w:marRight w:val="0"/>
      <w:marTop w:val="0"/>
      <w:marBottom w:val="0"/>
      <w:divBdr>
        <w:top w:val="none" w:sz="0" w:space="0" w:color="auto"/>
        <w:left w:val="none" w:sz="0" w:space="0" w:color="auto"/>
        <w:bottom w:val="none" w:sz="0" w:space="0" w:color="auto"/>
        <w:right w:val="none" w:sz="0" w:space="0" w:color="auto"/>
      </w:divBdr>
      <w:divsChild>
        <w:div w:id="962417360">
          <w:marLeft w:val="0"/>
          <w:marRight w:val="0"/>
          <w:marTop w:val="0"/>
          <w:marBottom w:val="0"/>
          <w:divBdr>
            <w:top w:val="none" w:sz="0" w:space="0" w:color="auto"/>
            <w:left w:val="none" w:sz="0" w:space="0" w:color="auto"/>
            <w:bottom w:val="none" w:sz="0" w:space="0" w:color="auto"/>
            <w:right w:val="none" w:sz="0" w:space="0" w:color="auto"/>
          </w:divBdr>
        </w:div>
      </w:divsChild>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3652">
      <w:bodyDiv w:val="1"/>
      <w:marLeft w:val="0"/>
      <w:marRight w:val="0"/>
      <w:marTop w:val="0"/>
      <w:marBottom w:val="0"/>
      <w:divBdr>
        <w:top w:val="none" w:sz="0" w:space="0" w:color="auto"/>
        <w:left w:val="none" w:sz="0" w:space="0" w:color="auto"/>
        <w:bottom w:val="none" w:sz="0" w:space="0" w:color="auto"/>
        <w:right w:val="none" w:sz="0" w:space="0" w:color="auto"/>
      </w:divBdr>
    </w:div>
    <w:div w:id="561408214">
      <w:bodyDiv w:val="1"/>
      <w:marLeft w:val="0"/>
      <w:marRight w:val="0"/>
      <w:marTop w:val="0"/>
      <w:marBottom w:val="0"/>
      <w:divBdr>
        <w:top w:val="none" w:sz="0" w:space="0" w:color="auto"/>
        <w:left w:val="none" w:sz="0" w:space="0" w:color="auto"/>
        <w:bottom w:val="none" w:sz="0" w:space="0" w:color="auto"/>
        <w:right w:val="none" w:sz="0" w:space="0" w:color="auto"/>
      </w:divBdr>
      <w:divsChild>
        <w:div w:id="1033771388">
          <w:marLeft w:val="0"/>
          <w:marRight w:val="0"/>
          <w:marTop w:val="0"/>
          <w:marBottom w:val="0"/>
          <w:divBdr>
            <w:top w:val="none" w:sz="0" w:space="0" w:color="auto"/>
            <w:left w:val="none" w:sz="0" w:space="0" w:color="auto"/>
            <w:bottom w:val="none" w:sz="0" w:space="0" w:color="auto"/>
            <w:right w:val="none" w:sz="0" w:space="0" w:color="auto"/>
          </w:divBdr>
        </w:div>
        <w:div w:id="1223372242">
          <w:marLeft w:val="0"/>
          <w:marRight w:val="0"/>
          <w:marTop w:val="0"/>
          <w:marBottom w:val="0"/>
          <w:divBdr>
            <w:top w:val="none" w:sz="0" w:space="0" w:color="auto"/>
            <w:left w:val="none" w:sz="0" w:space="0" w:color="auto"/>
            <w:bottom w:val="none" w:sz="0" w:space="0" w:color="auto"/>
            <w:right w:val="none" w:sz="0" w:space="0" w:color="auto"/>
          </w:divBdr>
        </w:div>
        <w:div w:id="1834951229">
          <w:marLeft w:val="0"/>
          <w:marRight w:val="0"/>
          <w:marTop w:val="0"/>
          <w:marBottom w:val="0"/>
          <w:divBdr>
            <w:top w:val="none" w:sz="0" w:space="0" w:color="auto"/>
            <w:left w:val="none" w:sz="0" w:space="0" w:color="auto"/>
            <w:bottom w:val="none" w:sz="0" w:space="0" w:color="auto"/>
            <w:right w:val="none" w:sz="0" w:space="0" w:color="auto"/>
          </w:divBdr>
        </w:div>
      </w:divsChild>
    </w:div>
    <w:div w:id="623391584">
      <w:bodyDiv w:val="1"/>
      <w:marLeft w:val="0"/>
      <w:marRight w:val="0"/>
      <w:marTop w:val="0"/>
      <w:marBottom w:val="0"/>
      <w:divBdr>
        <w:top w:val="none" w:sz="0" w:space="0" w:color="auto"/>
        <w:left w:val="none" w:sz="0" w:space="0" w:color="auto"/>
        <w:bottom w:val="none" w:sz="0" w:space="0" w:color="auto"/>
        <w:right w:val="none" w:sz="0" w:space="0" w:color="auto"/>
      </w:divBdr>
    </w:div>
    <w:div w:id="829055063">
      <w:bodyDiv w:val="1"/>
      <w:marLeft w:val="0"/>
      <w:marRight w:val="0"/>
      <w:marTop w:val="0"/>
      <w:marBottom w:val="0"/>
      <w:divBdr>
        <w:top w:val="none" w:sz="0" w:space="0" w:color="auto"/>
        <w:left w:val="none" w:sz="0" w:space="0" w:color="auto"/>
        <w:bottom w:val="none" w:sz="0" w:space="0" w:color="auto"/>
        <w:right w:val="none" w:sz="0" w:space="0" w:color="auto"/>
      </w:divBdr>
      <w:divsChild>
        <w:div w:id="1775124916">
          <w:marLeft w:val="0"/>
          <w:marRight w:val="0"/>
          <w:marTop w:val="0"/>
          <w:marBottom w:val="0"/>
          <w:divBdr>
            <w:top w:val="none" w:sz="0" w:space="0" w:color="auto"/>
            <w:left w:val="none" w:sz="0" w:space="0" w:color="auto"/>
            <w:bottom w:val="none" w:sz="0" w:space="0" w:color="auto"/>
            <w:right w:val="none" w:sz="0" w:space="0" w:color="auto"/>
          </w:divBdr>
          <w:divsChild>
            <w:div w:id="1338923401">
              <w:marLeft w:val="0"/>
              <w:marRight w:val="0"/>
              <w:marTop w:val="0"/>
              <w:marBottom w:val="0"/>
              <w:divBdr>
                <w:top w:val="none" w:sz="0" w:space="0" w:color="auto"/>
                <w:left w:val="none" w:sz="0" w:space="0" w:color="auto"/>
                <w:bottom w:val="none" w:sz="0" w:space="0" w:color="auto"/>
                <w:right w:val="none" w:sz="0" w:space="0" w:color="auto"/>
              </w:divBdr>
            </w:div>
            <w:div w:id="146241590">
              <w:marLeft w:val="0"/>
              <w:marRight w:val="0"/>
              <w:marTop w:val="0"/>
              <w:marBottom w:val="0"/>
              <w:divBdr>
                <w:top w:val="none" w:sz="0" w:space="0" w:color="auto"/>
                <w:left w:val="none" w:sz="0" w:space="0" w:color="auto"/>
                <w:bottom w:val="none" w:sz="0" w:space="0" w:color="auto"/>
                <w:right w:val="none" w:sz="0" w:space="0" w:color="auto"/>
              </w:divBdr>
            </w:div>
            <w:div w:id="15214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68083">
      <w:bodyDiv w:val="1"/>
      <w:marLeft w:val="0"/>
      <w:marRight w:val="0"/>
      <w:marTop w:val="0"/>
      <w:marBottom w:val="0"/>
      <w:divBdr>
        <w:top w:val="none" w:sz="0" w:space="0" w:color="auto"/>
        <w:left w:val="none" w:sz="0" w:space="0" w:color="auto"/>
        <w:bottom w:val="none" w:sz="0" w:space="0" w:color="auto"/>
        <w:right w:val="none" w:sz="0" w:space="0" w:color="auto"/>
      </w:divBdr>
      <w:divsChild>
        <w:div w:id="1862086548">
          <w:marLeft w:val="0"/>
          <w:marRight w:val="0"/>
          <w:marTop w:val="0"/>
          <w:marBottom w:val="0"/>
          <w:divBdr>
            <w:top w:val="none" w:sz="0" w:space="0" w:color="auto"/>
            <w:left w:val="none" w:sz="0" w:space="0" w:color="auto"/>
            <w:bottom w:val="none" w:sz="0" w:space="0" w:color="auto"/>
            <w:right w:val="none" w:sz="0" w:space="0" w:color="auto"/>
          </w:divBdr>
          <w:divsChild>
            <w:div w:id="18846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97976">
      <w:bodyDiv w:val="1"/>
      <w:marLeft w:val="0"/>
      <w:marRight w:val="0"/>
      <w:marTop w:val="0"/>
      <w:marBottom w:val="0"/>
      <w:divBdr>
        <w:top w:val="none" w:sz="0" w:space="0" w:color="auto"/>
        <w:left w:val="none" w:sz="0" w:space="0" w:color="auto"/>
        <w:bottom w:val="none" w:sz="0" w:space="0" w:color="auto"/>
        <w:right w:val="none" w:sz="0" w:space="0" w:color="auto"/>
      </w:divBdr>
      <w:divsChild>
        <w:div w:id="1346664319">
          <w:marLeft w:val="0"/>
          <w:marRight w:val="0"/>
          <w:marTop w:val="0"/>
          <w:marBottom w:val="0"/>
          <w:divBdr>
            <w:top w:val="none" w:sz="0" w:space="0" w:color="auto"/>
            <w:left w:val="none" w:sz="0" w:space="0" w:color="auto"/>
            <w:bottom w:val="none" w:sz="0" w:space="0" w:color="auto"/>
            <w:right w:val="none" w:sz="0" w:space="0" w:color="auto"/>
          </w:divBdr>
        </w:div>
        <w:div w:id="1611011690">
          <w:marLeft w:val="0"/>
          <w:marRight w:val="0"/>
          <w:marTop w:val="0"/>
          <w:marBottom w:val="0"/>
          <w:divBdr>
            <w:top w:val="none" w:sz="0" w:space="0" w:color="auto"/>
            <w:left w:val="none" w:sz="0" w:space="0" w:color="auto"/>
            <w:bottom w:val="none" w:sz="0" w:space="0" w:color="auto"/>
            <w:right w:val="none" w:sz="0" w:space="0" w:color="auto"/>
          </w:divBdr>
        </w:div>
        <w:div w:id="1863089172">
          <w:marLeft w:val="0"/>
          <w:marRight w:val="0"/>
          <w:marTop w:val="0"/>
          <w:marBottom w:val="0"/>
          <w:divBdr>
            <w:top w:val="none" w:sz="0" w:space="0" w:color="auto"/>
            <w:left w:val="none" w:sz="0" w:space="0" w:color="auto"/>
            <w:bottom w:val="none" w:sz="0" w:space="0" w:color="auto"/>
            <w:right w:val="none" w:sz="0" w:space="0" w:color="auto"/>
          </w:divBdr>
        </w:div>
        <w:div w:id="2074546497">
          <w:marLeft w:val="0"/>
          <w:marRight w:val="0"/>
          <w:marTop w:val="0"/>
          <w:marBottom w:val="0"/>
          <w:divBdr>
            <w:top w:val="none" w:sz="0" w:space="0" w:color="auto"/>
            <w:left w:val="none" w:sz="0" w:space="0" w:color="auto"/>
            <w:bottom w:val="none" w:sz="0" w:space="0" w:color="auto"/>
            <w:right w:val="none" w:sz="0" w:space="0" w:color="auto"/>
          </w:divBdr>
        </w:div>
      </w:divsChild>
    </w:div>
    <w:div w:id="1272780809">
      <w:bodyDiv w:val="1"/>
      <w:marLeft w:val="0"/>
      <w:marRight w:val="0"/>
      <w:marTop w:val="0"/>
      <w:marBottom w:val="0"/>
      <w:divBdr>
        <w:top w:val="none" w:sz="0" w:space="0" w:color="auto"/>
        <w:left w:val="none" w:sz="0" w:space="0" w:color="auto"/>
        <w:bottom w:val="none" w:sz="0" w:space="0" w:color="auto"/>
        <w:right w:val="none" w:sz="0" w:space="0" w:color="auto"/>
      </w:divBdr>
    </w:div>
    <w:div w:id="1321272888">
      <w:bodyDiv w:val="1"/>
      <w:marLeft w:val="0"/>
      <w:marRight w:val="0"/>
      <w:marTop w:val="0"/>
      <w:marBottom w:val="0"/>
      <w:divBdr>
        <w:top w:val="none" w:sz="0" w:space="0" w:color="auto"/>
        <w:left w:val="none" w:sz="0" w:space="0" w:color="auto"/>
        <w:bottom w:val="none" w:sz="0" w:space="0" w:color="auto"/>
        <w:right w:val="none" w:sz="0" w:space="0" w:color="auto"/>
      </w:divBdr>
      <w:divsChild>
        <w:div w:id="1812287992">
          <w:marLeft w:val="0"/>
          <w:marRight w:val="0"/>
          <w:marTop w:val="0"/>
          <w:marBottom w:val="0"/>
          <w:divBdr>
            <w:top w:val="none" w:sz="0" w:space="0" w:color="auto"/>
            <w:left w:val="none" w:sz="0" w:space="0" w:color="auto"/>
            <w:bottom w:val="none" w:sz="0" w:space="0" w:color="auto"/>
            <w:right w:val="none" w:sz="0" w:space="0" w:color="auto"/>
          </w:divBdr>
        </w:div>
        <w:div w:id="1203975474">
          <w:marLeft w:val="0"/>
          <w:marRight w:val="0"/>
          <w:marTop w:val="0"/>
          <w:marBottom w:val="0"/>
          <w:divBdr>
            <w:top w:val="none" w:sz="0" w:space="0" w:color="auto"/>
            <w:left w:val="none" w:sz="0" w:space="0" w:color="auto"/>
            <w:bottom w:val="none" w:sz="0" w:space="0" w:color="auto"/>
            <w:right w:val="none" w:sz="0" w:space="0" w:color="auto"/>
          </w:divBdr>
        </w:div>
      </w:divsChild>
    </w:div>
    <w:div w:id="1512834646">
      <w:bodyDiv w:val="1"/>
      <w:marLeft w:val="0"/>
      <w:marRight w:val="0"/>
      <w:marTop w:val="0"/>
      <w:marBottom w:val="0"/>
      <w:divBdr>
        <w:top w:val="none" w:sz="0" w:space="0" w:color="auto"/>
        <w:left w:val="none" w:sz="0" w:space="0" w:color="auto"/>
        <w:bottom w:val="none" w:sz="0" w:space="0" w:color="auto"/>
        <w:right w:val="none" w:sz="0" w:space="0" w:color="auto"/>
      </w:divBdr>
      <w:divsChild>
        <w:div w:id="621810685">
          <w:marLeft w:val="0"/>
          <w:marRight w:val="0"/>
          <w:marTop w:val="0"/>
          <w:marBottom w:val="0"/>
          <w:divBdr>
            <w:top w:val="none" w:sz="0" w:space="0" w:color="auto"/>
            <w:left w:val="none" w:sz="0" w:space="0" w:color="auto"/>
            <w:bottom w:val="none" w:sz="0" w:space="0" w:color="auto"/>
            <w:right w:val="none" w:sz="0" w:space="0" w:color="auto"/>
          </w:divBdr>
        </w:div>
      </w:divsChild>
    </w:div>
    <w:div w:id="1604147791">
      <w:bodyDiv w:val="1"/>
      <w:marLeft w:val="0"/>
      <w:marRight w:val="0"/>
      <w:marTop w:val="0"/>
      <w:marBottom w:val="0"/>
      <w:divBdr>
        <w:top w:val="none" w:sz="0" w:space="0" w:color="auto"/>
        <w:left w:val="none" w:sz="0" w:space="0" w:color="auto"/>
        <w:bottom w:val="none" w:sz="0" w:space="0" w:color="auto"/>
        <w:right w:val="none" w:sz="0" w:space="0" w:color="auto"/>
      </w:divBdr>
      <w:divsChild>
        <w:div w:id="466432706">
          <w:marLeft w:val="0"/>
          <w:marRight w:val="0"/>
          <w:marTop w:val="0"/>
          <w:marBottom w:val="0"/>
          <w:divBdr>
            <w:top w:val="none" w:sz="0" w:space="0" w:color="auto"/>
            <w:left w:val="none" w:sz="0" w:space="0" w:color="auto"/>
            <w:bottom w:val="none" w:sz="0" w:space="0" w:color="auto"/>
            <w:right w:val="none" w:sz="0" w:space="0" w:color="auto"/>
          </w:divBdr>
          <w:divsChild>
            <w:div w:id="6216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7514">
      <w:bodyDiv w:val="1"/>
      <w:marLeft w:val="0"/>
      <w:marRight w:val="0"/>
      <w:marTop w:val="0"/>
      <w:marBottom w:val="0"/>
      <w:divBdr>
        <w:top w:val="none" w:sz="0" w:space="0" w:color="auto"/>
        <w:left w:val="none" w:sz="0" w:space="0" w:color="auto"/>
        <w:bottom w:val="none" w:sz="0" w:space="0" w:color="auto"/>
        <w:right w:val="none" w:sz="0" w:space="0" w:color="auto"/>
      </w:divBdr>
      <w:divsChild>
        <w:div w:id="2053580204">
          <w:marLeft w:val="0"/>
          <w:marRight w:val="0"/>
          <w:marTop w:val="0"/>
          <w:marBottom w:val="0"/>
          <w:divBdr>
            <w:top w:val="none" w:sz="0" w:space="0" w:color="auto"/>
            <w:left w:val="none" w:sz="0" w:space="0" w:color="auto"/>
            <w:bottom w:val="none" w:sz="0" w:space="0" w:color="auto"/>
            <w:right w:val="none" w:sz="0" w:space="0" w:color="auto"/>
          </w:divBdr>
        </w:div>
        <w:div w:id="1542134898">
          <w:marLeft w:val="0"/>
          <w:marRight w:val="0"/>
          <w:marTop w:val="0"/>
          <w:marBottom w:val="0"/>
          <w:divBdr>
            <w:top w:val="none" w:sz="0" w:space="0" w:color="auto"/>
            <w:left w:val="none" w:sz="0" w:space="0" w:color="auto"/>
            <w:bottom w:val="none" w:sz="0" w:space="0" w:color="auto"/>
            <w:right w:val="none" w:sz="0" w:space="0" w:color="auto"/>
          </w:divBdr>
        </w:div>
      </w:divsChild>
    </w:div>
    <w:div w:id="1855415999">
      <w:bodyDiv w:val="1"/>
      <w:marLeft w:val="0"/>
      <w:marRight w:val="0"/>
      <w:marTop w:val="0"/>
      <w:marBottom w:val="0"/>
      <w:divBdr>
        <w:top w:val="none" w:sz="0" w:space="0" w:color="auto"/>
        <w:left w:val="none" w:sz="0" w:space="0" w:color="auto"/>
        <w:bottom w:val="none" w:sz="0" w:space="0" w:color="auto"/>
        <w:right w:val="none" w:sz="0" w:space="0" w:color="auto"/>
      </w:divBdr>
    </w:div>
    <w:div w:id="1925988434">
      <w:bodyDiv w:val="1"/>
      <w:marLeft w:val="0"/>
      <w:marRight w:val="0"/>
      <w:marTop w:val="0"/>
      <w:marBottom w:val="0"/>
      <w:divBdr>
        <w:top w:val="none" w:sz="0" w:space="0" w:color="auto"/>
        <w:left w:val="none" w:sz="0" w:space="0" w:color="auto"/>
        <w:bottom w:val="none" w:sz="0" w:space="0" w:color="auto"/>
        <w:right w:val="none" w:sz="0" w:space="0" w:color="auto"/>
      </w:divBdr>
    </w:div>
    <w:div w:id="1981227072">
      <w:bodyDiv w:val="1"/>
      <w:marLeft w:val="0"/>
      <w:marRight w:val="0"/>
      <w:marTop w:val="0"/>
      <w:marBottom w:val="0"/>
      <w:divBdr>
        <w:top w:val="none" w:sz="0" w:space="0" w:color="auto"/>
        <w:left w:val="none" w:sz="0" w:space="0" w:color="auto"/>
        <w:bottom w:val="none" w:sz="0" w:space="0" w:color="auto"/>
        <w:right w:val="none" w:sz="0" w:space="0" w:color="auto"/>
      </w:divBdr>
      <w:divsChild>
        <w:div w:id="1729255483">
          <w:marLeft w:val="0"/>
          <w:marRight w:val="0"/>
          <w:marTop w:val="0"/>
          <w:marBottom w:val="0"/>
          <w:divBdr>
            <w:top w:val="none" w:sz="0" w:space="0" w:color="auto"/>
            <w:left w:val="none" w:sz="0" w:space="0" w:color="auto"/>
            <w:bottom w:val="none" w:sz="0" w:space="0" w:color="auto"/>
            <w:right w:val="none" w:sz="0" w:space="0" w:color="auto"/>
          </w:divBdr>
        </w:div>
        <w:div w:id="152644197">
          <w:marLeft w:val="0"/>
          <w:marRight w:val="0"/>
          <w:marTop w:val="0"/>
          <w:marBottom w:val="0"/>
          <w:divBdr>
            <w:top w:val="none" w:sz="0" w:space="0" w:color="auto"/>
            <w:left w:val="none" w:sz="0" w:space="0" w:color="auto"/>
            <w:bottom w:val="none" w:sz="0" w:space="0" w:color="auto"/>
            <w:right w:val="none" w:sz="0" w:space="0" w:color="auto"/>
          </w:divBdr>
          <w:divsChild>
            <w:div w:id="20124822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cumentarchiv.de/wr/vv.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ocumentarchiv.de/wr/vv02.html" TargetMode="External"/><Relationship Id="rId4" Type="http://schemas.microsoft.com/office/2007/relationships/stylesWithEffects" Target="stylesWithEffects.xml"/><Relationship Id="rId9" Type="http://schemas.openxmlformats.org/officeDocument/2006/relationships/hyperlink" Target="http://www.documentarchiv.de/wr/vv02.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26A6E-1EA2-49D8-8C5A-B613F2C8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2</Pages>
  <Words>758</Words>
  <Characters>4778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5525</CharactersWithSpaces>
  <SharedDoc>false</SharedDoc>
  <HyperlinkBase>www.cornelsen.de/teachweb</HyperlinkBase>
  <HLinks>
    <vt:vector size="42" baseType="variant">
      <vt:variant>
        <vt:i4>6684790</vt:i4>
      </vt:variant>
      <vt:variant>
        <vt:i4>18</vt:i4>
      </vt:variant>
      <vt:variant>
        <vt:i4>0</vt:i4>
      </vt:variant>
      <vt:variant>
        <vt:i4>5</vt:i4>
      </vt:variant>
      <vt:variant>
        <vt:lpwstr>http://enominepatris.com/deutschtum/geschichte/hirtenbrief.htm</vt:lpwstr>
      </vt:variant>
      <vt:variant>
        <vt:lpwstr/>
      </vt:variant>
      <vt:variant>
        <vt:i4>7077978</vt:i4>
      </vt:variant>
      <vt:variant>
        <vt:i4>15</vt:i4>
      </vt:variant>
      <vt:variant>
        <vt:i4>0</vt:i4>
      </vt:variant>
      <vt:variant>
        <vt:i4>5</vt:i4>
      </vt:variant>
      <vt:variant>
        <vt:lpwstr>http://www.deutsche-und-polen.de/ereignisse/ereignis_jsp/key=ein_versoehnungszeichen_1965.html</vt:lpwstr>
      </vt:variant>
      <vt:variant>
        <vt:lpwstr/>
      </vt:variant>
      <vt:variant>
        <vt:i4>6815802</vt:i4>
      </vt:variant>
      <vt:variant>
        <vt:i4>12</vt:i4>
      </vt:variant>
      <vt:variant>
        <vt:i4>0</vt:i4>
      </vt:variant>
      <vt:variant>
        <vt:i4>5</vt:i4>
      </vt:variant>
      <vt:variant>
        <vt:lpwstr>http://www.bpb.de/politik/hintergrund-aktuell/68933/40-jahre-warschauer-vertrag-06-12-2010</vt:lpwstr>
      </vt:variant>
      <vt:variant>
        <vt:lpwstr/>
      </vt:variant>
      <vt:variant>
        <vt:i4>3539002</vt:i4>
      </vt:variant>
      <vt:variant>
        <vt:i4>9</vt:i4>
      </vt:variant>
      <vt:variant>
        <vt:i4>0</vt:i4>
      </vt:variant>
      <vt:variant>
        <vt:i4>5</vt:i4>
      </vt:variant>
      <vt:variant>
        <vt:lpwstr>http://www.verlag20.de/unterrichtsmaterial/1402</vt:lpwstr>
      </vt:variant>
      <vt:variant>
        <vt:lpwstr/>
      </vt:variant>
      <vt:variant>
        <vt:i4>2359341</vt:i4>
      </vt:variant>
      <vt:variant>
        <vt:i4>6</vt:i4>
      </vt:variant>
      <vt:variant>
        <vt:i4>0</vt:i4>
      </vt:variant>
      <vt:variant>
        <vt:i4>5</vt:i4>
      </vt:variant>
      <vt:variant>
        <vt:lpwstr>http://www.cornelsen.de/home/katalog/akd/1.c.1924536.de</vt:lpwstr>
      </vt:variant>
      <vt:variant>
        <vt:lpwstr/>
      </vt:variant>
      <vt:variant>
        <vt:i4>3407936</vt:i4>
      </vt:variant>
      <vt:variant>
        <vt:i4>3</vt:i4>
      </vt:variant>
      <vt:variant>
        <vt:i4>0</vt:i4>
      </vt:variant>
      <vt:variant>
        <vt:i4>5</vt:i4>
      </vt:variant>
      <vt:variant>
        <vt:lpwstr>http://www.youtube.com/watch?v=Tlt7a_wuqVw</vt:lpwstr>
      </vt:variant>
      <vt:variant>
        <vt:lpwstr/>
      </vt:variant>
      <vt:variant>
        <vt:i4>7733284</vt:i4>
      </vt:variant>
      <vt:variant>
        <vt:i4>0</vt:i4>
      </vt:variant>
      <vt:variant>
        <vt:i4>0</vt:i4>
      </vt:variant>
      <vt:variant>
        <vt:i4>5</vt:i4>
      </vt:variant>
      <vt:variant>
        <vt:lpwstr>http://www.youtube.com/watch?v=0jxrWqmHWBw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2</cp:revision>
  <cp:lastPrinted>2015-04-02T07:40:00Z</cp:lastPrinted>
  <dcterms:created xsi:type="dcterms:W3CDTF">2015-04-04T16:50:00Z</dcterms:created>
  <dcterms:modified xsi:type="dcterms:W3CDTF">2015-04-04T16:50:00Z</dcterms:modified>
  <cp:category>Aktualitätendienst Politik</cp:category>
</cp:coreProperties>
</file>