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4E" w:rsidRPr="0036304A" w:rsidRDefault="00835A4E" w:rsidP="00A7798C">
      <w:pPr>
        <w:pStyle w:val="0berschrift1"/>
        <w:rPr>
          <w:sz w:val="24"/>
        </w:rPr>
      </w:pPr>
      <w:r w:rsidRPr="0036304A">
        <w:rPr>
          <w:sz w:val="24"/>
        </w:rPr>
        <w:t>Willy Brandts Kniefall und der Warschauer Vertrag 1970</w:t>
      </w:r>
    </w:p>
    <w:p w:rsidR="00835A4E" w:rsidRDefault="00835A4E" w:rsidP="00835A4E">
      <w:pPr>
        <w:pStyle w:val="0berschrift2"/>
      </w:pPr>
      <w:r>
        <w:t>Kurzbeschreibung des Moduls</w:t>
      </w:r>
    </w:p>
    <w:p w:rsidR="007D5F06" w:rsidRPr="0093529E" w:rsidRDefault="007D5F06" w:rsidP="007D5F06">
      <w:pPr>
        <w:pStyle w:val="1Standardflietext"/>
        <w:jc w:val="both"/>
        <w:rPr>
          <w:lang w:eastAsia="en-US"/>
        </w:rPr>
      </w:pPr>
      <w:r w:rsidRPr="00962939">
        <w:rPr>
          <w:lang w:eastAsia="en-US"/>
        </w:rPr>
        <w:t xml:space="preserve">Nach Kriegsende 1945 war das Verhältnis zwischen Westdeutschland und Polen von </w:t>
      </w:r>
      <w:r w:rsidRPr="0093529E">
        <w:rPr>
          <w:lang w:eastAsia="en-US"/>
        </w:rPr>
        <w:t>der ideologischen</w:t>
      </w:r>
      <w:r w:rsidRPr="0086221B">
        <w:rPr>
          <w:lang w:eastAsia="en-US"/>
        </w:rPr>
        <w:t>, militärischen und wirtschaftlichen Zugehörigkeit zum jeweiligen Bündnispartner USA (NATO</w:t>
      </w:r>
      <w:r w:rsidRPr="00962939">
        <w:rPr>
          <w:lang w:eastAsia="en-US"/>
        </w:rPr>
        <w:t>) und Sowjetunion (Warschauer Pakt)</w:t>
      </w:r>
      <w:r w:rsidRPr="0086221B">
        <w:rPr>
          <w:lang w:eastAsia="en-US"/>
        </w:rPr>
        <w:t xml:space="preserve"> </w:t>
      </w:r>
      <w:r w:rsidRPr="00962939">
        <w:rPr>
          <w:lang w:eastAsia="en-US"/>
        </w:rPr>
        <w:t>geprägt. Zu letzterem gehörte auch die seit 1949 bestehende DDR, der zwar politisch ein freundschaftliches Verhältnis zu Polen verordnet w</w:t>
      </w:r>
      <w:r w:rsidRPr="0093529E">
        <w:rPr>
          <w:lang w:eastAsia="en-US"/>
        </w:rPr>
        <w:t>urde, das sich aber auf gesellschaftlicher Ebene nur bedingt widerspiegelte.</w:t>
      </w:r>
    </w:p>
    <w:p w:rsidR="007D5F06" w:rsidRPr="00962939" w:rsidRDefault="007D5F06" w:rsidP="007D5F06">
      <w:pPr>
        <w:pStyle w:val="1Standardflietext"/>
        <w:jc w:val="both"/>
        <w:rPr>
          <w:lang w:eastAsia="en-US"/>
        </w:rPr>
      </w:pPr>
      <w:r w:rsidRPr="0086221B">
        <w:rPr>
          <w:lang w:eastAsia="en-US"/>
        </w:rPr>
        <w:t>Erst Anfang der 19</w:t>
      </w:r>
      <w:r w:rsidRPr="00962939">
        <w:rPr>
          <w:lang w:eastAsia="en-US"/>
        </w:rPr>
        <w:t>60er Jahre konnten zunächst auf kirchlicher, etwas später auch auf politischer Ebene erste Signale eines Dialogs zwischen Westdeutschland und Polen gesendet werden (z.</w:t>
      </w:r>
      <w:r w:rsidRPr="0086221B">
        <w:rPr>
          <w:lang w:eastAsia="en-US"/>
        </w:rPr>
        <w:t> </w:t>
      </w:r>
      <w:r w:rsidRPr="00962939">
        <w:rPr>
          <w:lang w:eastAsia="en-US"/>
        </w:rPr>
        <w:t xml:space="preserve">B. der Briefwechsel zwischen den katholischen Bischöfen Polens und Deutschlands 1965, s. Arbeitsblatt 1). Ein entscheidender Durchbruch gelang dann der 1969 neu entstandenen Koalition </w:t>
      </w:r>
      <w:r w:rsidRPr="0086221B">
        <w:rPr>
          <w:lang w:eastAsia="en-US"/>
        </w:rPr>
        <w:t xml:space="preserve">aus SPD und FDP </w:t>
      </w:r>
      <w:r w:rsidRPr="00962939">
        <w:rPr>
          <w:lang w:eastAsia="en-US"/>
        </w:rPr>
        <w:t xml:space="preserve">mit Bundeskanzler Willy Brandt an </w:t>
      </w:r>
      <w:r>
        <w:rPr>
          <w:lang w:eastAsia="en-US"/>
        </w:rPr>
        <w:t xml:space="preserve">der </w:t>
      </w:r>
      <w:r w:rsidRPr="00962939">
        <w:rPr>
          <w:lang w:eastAsia="en-US"/>
        </w:rPr>
        <w:t>Spitze der Regierung, die d</w:t>
      </w:r>
      <w:r w:rsidRPr="0093529E">
        <w:rPr>
          <w:lang w:eastAsia="en-US"/>
        </w:rPr>
        <w:t>ie Oder-Neiße-Grenze als unverletzliche Westgrenze Polens sowie die DDR al</w:t>
      </w:r>
      <w:r>
        <w:rPr>
          <w:lang w:eastAsia="en-US"/>
        </w:rPr>
        <w:t>s Staat anerkannte und durch den Warschauer Vertra</w:t>
      </w:r>
      <w:r w:rsidRPr="0093529E">
        <w:rPr>
          <w:lang w:eastAsia="en-US"/>
        </w:rPr>
        <w:t xml:space="preserve">ge 1970 das Verhältnis zwischen beiden Ländern auf ein neues Fundament stellte. </w:t>
      </w:r>
      <w:r w:rsidRPr="0086221B">
        <w:rPr>
          <w:lang w:eastAsia="en-US"/>
        </w:rPr>
        <w:t xml:space="preserve">Willy </w:t>
      </w:r>
      <w:r w:rsidRPr="00962939">
        <w:rPr>
          <w:lang w:eastAsia="en-US"/>
        </w:rPr>
        <w:t>Brandts Kniefall vor dem Denkmal</w:t>
      </w:r>
      <w:r w:rsidR="00F662DB">
        <w:rPr>
          <w:lang w:eastAsia="en-US"/>
        </w:rPr>
        <w:t xml:space="preserve"> für die Kämpfer des Ghettoaufstands von 1943</w:t>
      </w:r>
      <w:r w:rsidRPr="0086221B">
        <w:rPr>
          <w:lang w:eastAsia="en-US"/>
        </w:rPr>
        <w:t xml:space="preserve"> </w:t>
      </w:r>
      <w:r w:rsidRPr="00962939">
        <w:rPr>
          <w:lang w:eastAsia="en-US"/>
        </w:rPr>
        <w:t xml:space="preserve">in Warschau gilt bis heute als ein Meilenstein </w:t>
      </w:r>
      <w:r w:rsidRPr="0086221B">
        <w:rPr>
          <w:lang w:eastAsia="en-US"/>
        </w:rPr>
        <w:t xml:space="preserve">für den </w:t>
      </w:r>
      <w:r w:rsidRPr="00962939">
        <w:rPr>
          <w:lang w:eastAsia="en-US"/>
        </w:rPr>
        <w:t xml:space="preserve">Aussöhnungsprozess beider Länder, auch wenn </w:t>
      </w:r>
      <w:r w:rsidRPr="0086221B">
        <w:rPr>
          <w:lang w:eastAsia="en-US"/>
        </w:rPr>
        <w:t xml:space="preserve">die Geste </w:t>
      </w:r>
      <w:r w:rsidRPr="00962939">
        <w:rPr>
          <w:lang w:eastAsia="en-US"/>
        </w:rPr>
        <w:t xml:space="preserve">damals nicht unumstritten war. Gleiches gilt für die </w:t>
      </w:r>
      <w:r w:rsidRPr="0086221B">
        <w:rPr>
          <w:lang w:eastAsia="en-US"/>
        </w:rPr>
        <w:t xml:space="preserve">Vereinbarungen </w:t>
      </w:r>
      <w:r w:rsidRPr="00962939">
        <w:rPr>
          <w:lang w:eastAsia="en-US"/>
        </w:rPr>
        <w:t xml:space="preserve">des Warschauer Vertrags, die in der deutschen Politik und Gesellschaft </w:t>
      </w:r>
      <w:r w:rsidRPr="0086221B">
        <w:rPr>
          <w:lang w:eastAsia="en-US"/>
        </w:rPr>
        <w:t>ebenfalls</w:t>
      </w:r>
      <w:r w:rsidRPr="00962939">
        <w:rPr>
          <w:lang w:eastAsia="en-US"/>
        </w:rPr>
        <w:t xml:space="preserve"> auf Widerstand stießen.</w:t>
      </w:r>
    </w:p>
    <w:p w:rsidR="007D5F06" w:rsidRDefault="007D5F06" w:rsidP="007D5F06">
      <w:pPr>
        <w:pStyle w:val="1Standardflietext"/>
        <w:jc w:val="both"/>
        <w:rPr>
          <w:lang w:eastAsia="en-US"/>
        </w:rPr>
      </w:pPr>
      <w:r w:rsidRPr="0093529E">
        <w:rPr>
          <w:lang w:eastAsia="en-US"/>
        </w:rPr>
        <w:t>Das Modul stellt den Kniefall von Willy Brandt in den historischen Zusammenhang. Er wird den Schüler</w:t>
      </w:r>
      <w:r w:rsidRPr="0086221B">
        <w:rPr>
          <w:lang w:eastAsia="en-US"/>
        </w:rPr>
        <w:t>Inne</w:t>
      </w:r>
      <w:r w:rsidRPr="00962939">
        <w:rPr>
          <w:lang w:eastAsia="en-US"/>
        </w:rPr>
        <w:t>n sowohl über die eigenen Erinnerungen Brandts (Arbeitsblatt 2), als auch im weiteren Kontext des Warschauer Vertrags</w:t>
      </w:r>
      <w:r>
        <w:rPr>
          <w:lang w:eastAsia="en-US"/>
        </w:rPr>
        <w:t xml:space="preserve"> </w:t>
      </w:r>
      <w:r w:rsidRPr="00962939">
        <w:rPr>
          <w:lang w:eastAsia="en-US"/>
        </w:rPr>
        <w:t>nähergebracht. Die gesellschaftliche und politische Diskussion über letzteren vermittelt Arbeitsblatt 3.</w:t>
      </w:r>
    </w:p>
    <w:p w:rsidR="0036304A" w:rsidRDefault="0036304A" w:rsidP="00835A4E">
      <w:pPr>
        <w:pStyle w:val="1Standardflietext"/>
      </w:pPr>
    </w:p>
    <w:p w:rsidR="00835A4E" w:rsidRPr="001E7A2C" w:rsidRDefault="00835A4E" w:rsidP="00835A4E">
      <w:pPr>
        <w:spacing w:after="240" w:line="240" w:lineRule="exact"/>
        <w:rPr>
          <w:sz w:val="22"/>
          <w:szCs w:val="20"/>
          <w:u w:val="single"/>
        </w:rPr>
      </w:pPr>
      <w:r w:rsidRPr="001E7A2C">
        <w:rPr>
          <w:sz w:val="22"/>
          <w:szCs w:val="20"/>
          <w:u w:val="single"/>
        </w:rPr>
        <w:t>Das Modul enthält</w:t>
      </w:r>
    </w:p>
    <w:p w:rsidR="00835A4E" w:rsidRDefault="00835A4E" w:rsidP="00A7798C">
      <w:pPr>
        <w:pStyle w:val="2Listeeingerckt"/>
      </w:pPr>
      <w:r>
        <w:t>e</w:t>
      </w:r>
      <w:r w:rsidRPr="001E7A2C">
        <w:t xml:space="preserve">ine </w:t>
      </w:r>
      <w:r w:rsidRPr="00A7798C">
        <w:rPr>
          <w:b/>
        </w:rPr>
        <w:t>didaktische Einführung</w:t>
      </w:r>
      <w:r w:rsidRPr="001E7A2C">
        <w:t xml:space="preserve"> zum Thema</w:t>
      </w:r>
    </w:p>
    <w:p w:rsidR="00835A4E" w:rsidRPr="00A7798C" w:rsidRDefault="00835A4E" w:rsidP="00A7798C">
      <w:pPr>
        <w:pStyle w:val="2Listeeingerckt"/>
        <w:rPr>
          <w:b/>
        </w:rPr>
      </w:pPr>
      <w:r w:rsidRPr="001E7A2C">
        <w:t xml:space="preserve">Hinweise zu </w:t>
      </w:r>
      <w:r w:rsidRPr="00A7798C">
        <w:rPr>
          <w:b/>
        </w:rPr>
        <w:t xml:space="preserve">Referatsthemen, weiterführender Literatur </w:t>
      </w:r>
      <w:r w:rsidRPr="00A7798C">
        <w:t xml:space="preserve">sowie </w:t>
      </w:r>
      <w:r w:rsidRPr="00A7798C">
        <w:rPr>
          <w:b/>
        </w:rPr>
        <w:t>Links</w:t>
      </w:r>
    </w:p>
    <w:p w:rsidR="00835A4E" w:rsidRPr="00A7798C" w:rsidRDefault="00835A4E" w:rsidP="00A7798C">
      <w:pPr>
        <w:pStyle w:val="2Listeeingerckt"/>
        <w:rPr>
          <w:b/>
        </w:rPr>
      </w:pPr>
      <w:r w:rsidRPr="00CE104A">
        <w:t xml:space="preserve">einen </w:t>
      </w:r>
      <w:r w:rsidRPr="00A7798C">
        <w:rPr>
          <w:b/>
        </w:rPr>
        <w:t>Einführungstext</w:t>
      </w:r>
    </w:p>
    <w:p w:rsidR="00835A4E" w:rsidRDefault="00835A4E" w:rsidP="00A7798C">
      <w:pPr>
        <w:pStyle w:val="2Listeeingerckt"/>
      </w:pPr>
      <w:r w:rsidRPr="00A7798C">
        <w:rPr>
          <w:b/>
        </w:rPr>
        <w:t>Arbeitsblatt 1:</w:t>
      </w:r>
      <w:r w:rsidRPr="004C7342">
        <w:t xml:space="preserve"> </w:t>
      </w:r>
      <w:r w:rsidRPr="00745E38">
        <w:t xml:space="preserve">„Wir gewähren Vergebung und bitten um Vergebung“ </w:t>
      </w:r>
      <w:r w:rsidR="0036304A">
        <w:t>–</w:t>
      </w:r>
      <w:r w:rsidRPr="00745E38">
        <w:t xml:space="preserve"> </w:t>
      </w:r>
      <w:r w:rsidR="0036304A">
        <w:t xml:space="preserve">Der Brief der polnischen Bischöfe </w:t>
      </w:r>
      <w:r w:rsidR="007D5F06">
        <w:t xml:space="preserve">von </w:t>
      </w:r>
      <w:r w:rsidR="0036304A">
        <w:t xml:space="preserve">1965 als </w:t>
      </w:r>
      <w:r w:rsidRPr="00745E38">
        <w:t>erster Schritt zur Versöhnung</w:t>
      </w:r>
    </w:p>
    <w:p w:rsidR="00835A4E" w:rsidRPr="004C7342" w:rsidRDefault="00835A4E" w:rsidP="00A7798C">
      <w:pPr>
        <w:pStyle w:val="2Listeeingerckt"/>
      </w:pPr>
      <w:r w:rsidRPr="00A7798C">
        <w:rPr>
          <w:b/>
        </w:rPr>
        <w:t>Arbeitsblatt 2:</w:t>
      </w:r>
      <w:r>
        <w:t xml:space="preserve"> </w:t>
      </w:r>
      <w:r w:rsidR="0036304A">
        <w:t>„</w:t>
      </w:r>
      <w:r>
        <w:t>Durfte Brandt knien?</w:t>
      </w:r>
      <w:r w:rsidR="0036304A">
        <w:t>“</w:t>
      </w:r>
      <w:r>
        <w:t xml:space="preserve"> (</w:t>
      </w:r>
      <w:r w:rsidR="00E01A21">
        <w:t>Titelstory „</w:t>
      </w:r>
      <w:r>
        <w:t>Der Spiegel</w:t>
      </w:r>
      <w:r w:rsidR="00E01A21">
        <w:t>“</w:t>
      </w:r>
      <w:r>
        <w:t xml:space="preserve">, </w:t>
      </w:r>
      <w:r w:rsidR="00E01A21">
        <w:t xml:space="preserve">Dezember </w:t>
      </w:r>
      <w:r>
        <w:t>1970)</w:t>
      </w:r>
    </w:p>
    <w:p w:rsidR="00835A4E" w:rsidRPr="00B6675E" w:rsidRDefault="00835A4E" w:rsidP="00A7798C">
      <w:pPr>
        <w:pStyle w:val="2Listeeingerckt"/>
      </w:pPr>
      <w:r w:rsidRPr="00A7798C">
        <w:rPr>
          <w:b/>
        </w:rPr>
        <w:t>Arbeitsblatt 3:</w:t>
      </w:r>
      <w:r w:rsidRPr="00CE104A">
        <w:t xml:space="preserve"> Der Warschauer Vertrag in der politischen Diskussion</w:t>
      </w:r>
    </w:p>
    <w:p w:rsidR="00835A4E" w:rsidRPr="001E7A2C" w:rsidRDefault="00835A4E" w:rsidP="00A7798C">
      <w:pPr>
        <w:pStyle w:val="2Listeeingerckt"/>
        <w:numPr>
          <w:ilvl w:val="0"/>
          <w:numId w:val="0"/>
        </w:numPr>
        <w:ind w:left="680"/>
        <w:rPr>
          <w:rFonts w:eastAsia="Courier New"/>
        </w:rPr>
      </w:pPr>
    </w:p>
    <w:p w:rsidR="00835A4E" w:rsidRPr="00FC4C21" w:rsidRDefault="00835A4E" w:rsidP="00F662DB">
      <w:pPr>
        <w:pStyle w:val="2Listeeingerckt"/>
        <w:numPr>
          <w:ilvl w:val="0"/>
          <w:numId w:val="0"/>
        </w:numPr>
        <w:rPr>
          <w:i/>
          <w:sz w:val="24"/>
          <w:u w:val="single"/>
          <w:lang w:eastAsia="en-US"/>
        </w:rPr>
      </w:pPr>
      <w:r w:rsidRPr="001E7A2C">
        <w:rPr>
          <w:szCs w:val="24"/>
        </w:rPr>
        <w:br w:type="page"/>
      </w:r>
      <w:r w:rsidRPr="00FC4C21">
        <w:rPr>
          <w:i/>
          <w:sz w:val="24"/>
          <w:u w:val="single"/>
          <w:lang w:eastAsia="en-US"/>
        </w:rPr>
        <w:lastRenderedPageBreak/>
        <w:t>Didaktische Einführung zum Thema</w:t>
      </w:r>
    </w:p>
    <w:p w:rsidR="00835A4E" w:rsidRPr="001630D0" w:rsidRDefault="00835A4E" w:rsidP="00835A4E">
      <w:pPr>
        <w:pStyle w:val="1Standardflietext"/>
        <w:rPr>
          <w:lang w:eastAsia="en-US"/>
        </w:rPr>
      </w:pPr>
    </w:p>
    <w:p w:rsidR="00835A4E" w:rsidRPr="001630D0" w:rsidRDefault="00835A4E" w:rsidP="00835A4E">
      <w:pPr>
        <w:pStyle w:val="0berschrift1"/>
        <w:rPr>
          <w:lang w:eastAsia="en-US"/>
        </w:rPr>
      </w:pPr>
      <w:r w:rsidRPr="00851AEA">
        <w:rPr>
          <w:lang w:eastAsia="en-US"/>
        </w:rPr>
        <w:t>Willy Brand</w:t>
      </w:r>
      <w:r w:rsidR="00514491">
        <w:rPr>
          <w:lang w:eastAsia="en-US"/>
        </w:rPr>
        <w:t>t</w:t>
      </w:r>
      <w:r w:rsidRPr="00851AEA">
        <w:rPr>
          <w:lang w:eastAsia="en-US"/>
        </w:rPr>
        <w:t>s Kniefall und der Warschauer Vertrag 1970</w:t>
      </w:r>
    </w:p>
    <w:p w:rsidR="00835A4E" w:rsidRPr="001E7A2C" w:rsidRDefault="00835A4E" w:rsidP="00835A4E">
      <w:pPr>
        <w:pStyle w:val="0berschrift2"/>
      </w:pPr>
      <w:r w:rsidRPr="001E7A2C">
        <w:t xml:space="preserve">Hinweise zum Einsatz im Unterricht </w:t>
      </w:r>
    </w:p>
    <w:p w:rsidR="00835A4E" w:rsidRPr="001E7A2C" w:rsidRDefault="00835A4E" w:rsidP="00FC4C21">
      <w:pPr>
        <w:pStyle w:val="0berschrift1"/>
        <w:jc w:val="both"/>
        <w:rPr>
          <w:lang w:eastAsia="en-US"/>
        </w:rPr>
      </w:pPr>
      <w:r w:rsidRPr="00FC4C21">
        <w:rPr>
          <w:b w:val="0"/>
          <w:lang w:eastAsia="en-US"/>
        </w:rPr>
        <w:t>Das Thema „</w:t>
      </w:r>
      <w:r w:rsidR="000D5CEC" w:rsidRPr="00FC4C21">
        <w:rPr>
          <w:b w:val="0"/>
          <w:lang w:eastAsia="en-US"/>
        </w:rPr>
        <w:t>Willy Brand</w:t>
      </w:r>
      <w:r w:rsidR="00890CDF">
        <w:rPr>
          <w:b w:val="0"/>
          <w:lang w:eastAsia="en-US"/>
        </w:rPr>
        <w:t>t</w:t>
      </w:r>
      <w:bookmarkStart w:id="0" w:name="_GoBack"/>
      <w:bookmarkEnd w:id="0"/>
      <w:r w:rsidR="000D5CEC" w:rsidRPr="00FC4C21">
        <w:rPr>
          <w:b w:val="0"/>
          <w:lang w:eastAsia="en-US"/>
        </w:rPr>
        <w:t>s Kniefall und der Warschauer Vertrag 1970</w:t>
      </w:r>
      <w:r w:rsidRPr="00FC4C21">
        <w:rPr>
          <w:b w:val="0"/>
          <w:lang w:eastAsia="en-US"/>
        </w:rPr>
        <w:t xml:space="preserve">“ </w:t>
      </w:r>
      <w:r w:rsidRPr="00FC4C21">
        <w:rPr>
          <w:rFonts w:eastAsia="SabonCECV"/>
          <w:b w:val="0"/>
        </w:rPr>
        <w:t>kann im Unterricht</w:t>
      </w:r>
      <w:r w:rsidRPr="00F662DB">
        <w:rPr>
          <w:rFonts w:eastAsia="SabonCECV"/>
          <w:b w:val="0"/>
        </w:rPr>
        <w:t xml:space="preserve"> behandelt werden</w:t>
      </w:r>
    </w:p>
    <w:p w:rsidR="00835A4E" w:rsidRDefault="00835A4E" w:rsidP="00835A4E">
      <w:pPr>
        <w:pStyle w:val="2Listeeingerckt"/>
      </w:pPr>
      <w:r w:rsidRPr="001E7A2C">
        <w:t>im Kontext der Unterrich</w:t>
      </w:r>
      <w:r>
        <w:t>tseinheit „Deutschland und Europa nach 1945“</w:t>
      </w:r>
    </w:p>
    <w:p w:rsidR="00835A4E" w:rsidRPr="001E7A2C" w:rsidRDefault="00835A4E" w:rsidP="00835A4E">
      <w:pPr>
        <w:pStyle w:val="2Listeeingerckt"/>
      </w:pPr>
      <w:r>
        <w:t>im Kontext der Unterrichtseinheit „</w:t>
      </w:r>
      <w:r w:rsidR="00425421">
        <w:t xml:space="preserve">Wandel durch </w:t>
      </w:r>
      <w:r>
        <w:t>Annäherung</w:t>
      </w:r>
      <w:r w:rsidR="00425421">
        <w:t xml:space="preserve"> </w:t>
      </w:r>
      <w:r>
        <w:t>– die Außenpolitik Willy Brandts“</w:t>
      </w:r>
    </w:p>
    <w:p w:rsidR="00835A4E" w:rsidRDefault="00835A4E" w:rsidP="00835A4E">
      <w:pPr>
        <w:pStyle w:val="2Listeeingerckt"/>
      </w:pPr>
      <w:r w:rsidRPr="001E7A2C">
        <w:t>im Kontext der Vorbereitung von Schüleraustauschprogrammen und Klassenfahrten nach Polen</w:t>
      </w:r>
      <w:r>
        <w:t>, insbesondere nach Warschau (G</w:t>
      </w:r>
      <w:r w:rsidR="00425421">
        <w:t>h</w:t>
      </w:r>
      <w:r>
        <w:t>etto-Denkmal)</w:t>
      </w:r>
    </w:p>
    <w:p w:rsidR="00835A4E" w:rsidRPr="00851AEA" w:rsidRDefault="00835A4E" w:rsidP="00835A4E">
      <w:pPr>
        <w:pStyle w:val="1Standardflietext"/>
      </w:pPr>
    </w:p>
    <w:p w:rsidR="00835A4E" w:rsidRPr="001E7A2C" w:rsidRDefault="00835A4E" w:rsidP="00835A4E">
      <w:pPr>
        <w:pStyle w:val="0berschrift2"/>
      </w:pPr>
      <w:r w:rsidRPr="00C73865">
        <w:t>Film</w:t>
      </w:r>
    </w:p>
    <w:p w:rsidR="000D5CEC" w:rsidRPr="00F662DB" w:rsidRDefault="000D5CEC" w:rsidP="000D5CEC">
      <w:pPr>
        <w:pStyle w:val="1Standardflietext"/>
        <w:rPr>
          <w:b/>
        </w:rPr>
      </w:pPr>
      <w:r w:rsidRPr="00F662DB">
        <w:rPr>
          <w:b/>
        </w:rPr>
        <w:t>100 – Jahre – Der Countdown. 1970: Der Kniefall von Warschau</w:t>
      </w:r>
      <w:r w:rsidRPr="000D5CEC">
        <w:rPr>
          <w:b/>
        </w:rPr>
        <w:t xml:space="preserve"> (9</w:t>
      </w:r>
      <w:r>
        <w:rPr>
          <w:b/>
        </w:rPr>
        <w:t>.</w:t>
      </w:r>
      <w:r w:rsidRPr="00F662DB">
        <w:rPr>
          <w:b/>
        </w:rPr>
        <w:t>13 Min.)</w:t>
      </w:r>
    </w:p>
    <w:p w:rsidR="00835A4E" w:rsidRDefault="00804F43" w:rsidP="00835A4E">
      <w:pPr>
        <w:pStyle w:val="1Standardflietext"/>
      </w:pPr>
      <w:hyperlink r:id="rId8" w:history="1">
        <w:r w:rsidR="00835A4E" w:rsidRPr="0059275B">
          <w:rPr>
            <w:rStyle w:val="Hyperlink"/>
          </w:rPr>
          <w:t>http://www.youtube.com/watch?v=0jxrWqmHWBw</w:t>
        </w:r>
      </w:hyperlink>
    </w:p>
    <w:p w:rsidR="00835A4E" w:rsidRDefault="00835A4E" w:rsidP="00F662DB">
      <w:pPr>
        <w:pStyle w:val="1Standardflietext"/>
        <w:jc w:val="both"/>
      </w:pPr>
      <w:r>
        <w:t>Eine kompakte und für Schüler gut verständliche Einordnung des Kniefalls von Willy Brandt 1970 in die Nachkriegsverhältnisse zwischen Deutschland und Polen. Dabei wird (allerdings teils mit schockierenden Aufnahmen) auch auf den Warschauer G</w:t>
      </w:r>
      <w:r w:rsidR="00425421">
        <w:t>h</w:t>
      </w:r>
      <w:r>
        <w:t>ettoaufstand 194</w:t>
      </w:r>
      <w:r w:rsidR="00425421">
        <w:t>3</w:t>
      </w:r>
      <w:r>
        <w:t xml:space="preserve"> zurückgeblendet und somit der historische Hintergrund für den Kniefall vor dem G</w:t>
      </w:r>
      <w:r w:rsidR="00425421">
        <w:t>h</w:t>
      </w:r>
      <w:r>
        <w:t>etto-Denkmal thematisiert. Der Film enthält zahlreiche Interviews und Originalaufnahmen.</w:t>
      </w:r>
    </w:p>
    <w:p w:rsidR="00835A4E" w:rsidRDefault="00835A4E" w:rsidP="00835A4E">
      <w:pPr>
        <w:pStyle w:val="1Standardflietext"/>
      </w:pPr>
    </w:p>
    <w:p w:rsidR="006A572A" w:rsidRPr="006A572A" w:rsidRDefault="006A572A" w:rsidP="00835A4E">
      <w:pPr>
        <w:pStyle w:val="1Standardflietext"/>
        <w:rPr>
          <w:b/>
        </w:rPr>
      </w:pPr>
      <w:r w:rsidRPr="006A572A">
        <w:rPr>
          <w:b/>
        </w:rPr>
        <w:t>Interview mit Egon Bahr (3.55 Min.)</w:t>
      </w:r>
    </w:p>
    <w:p w:rsidR="00835A4E" w:rsidRDefault="00804F43" w:rsidP="00835A4E">
      <w:pPr>
        <w:pStyle w:val="1Standardflietext"/>
      </w:pPr>
      <w:hyperlink r:id="rId9" w:history="1">
        <w:r w:rsidR="00835A4E" w:rsidRPr="00184336">
          <w:rPr>
            <w:rStyle w:val="Hyperlink"/>
          </w:rPr>
          <w:t>http://www.youtube.com/watch?v=Tlt7a_wuqVw</w:t>
        </w:r>
      </w:hyperlink>
    </w:p>
    <w:p w:rsidR="00835A4E" w:rsidRDefault="00835A4E" w:rsidP="006A572A">
      <w:pPr>
        <w:pStyle w:val="1Standardflietext"/>
        <w:jc w:val="both"/>
      </w:pPr>
      <w:r>
        <w:t xml:space="preserve">Interview mit </w:t>
      </w:r>
      <w:r w:rsidR="00023CF4">
        <w:t xml:space="preserve">Egon Bahr </w:t>
      </w:r>
      <w:r w:rsidR="006A572A">
        <w:t xml:space="preserve">(damals Staatssekretär im Bundeskanzleramt) </w:t>
      </w:r>
      <w:r w:rsidR="00023CF4">
        <w:t>über die Bedeutung des</w:t>
      </w:r>
      <w:r>
        <w:t xml:space="preserve"> W</w:t>
      </w:r>
      <w:r w:rsidR="00DE7FC9">
        <w:t>arschauer Vertra</w:t>
      </w:r>
      <w:r w:rsidR="00023CF4">
        <w:t>gs</w:t>
      </w:r>
      <w:r>
        <w:t xml:space="preserve">, den Kniefall von </w:t>
      </w:r>
      <w:r w:rsidR="00425421">
        <w:t xml:space="preserve">Willy </w:t>
      </w:r>
      <w:r>
        <w:t>Brandt und die neue Ostpolitik.</w:t>
      </w:r>
    </w:p>
    <w:p w:rsidR="00835A4E" w:rsidRPr="001E7A2C" w:rsidRDefault="00835A4E" w:rsidP="00835A4E">
      <w:pPr>
        <w:pStyle w:val="1Standardflietext"/>
      </w:pPr>
    </w:p>
    <w:p w:rsidR="00835A4E" w:rsidRPr="001E7A2C" w:rsidRDefault="00835A4E" w:rsidP="00AA2221">
      <w:pPr>
        <w:pStyle w:val="0berschrift2"/>
        <w:jc w:val="both"/>
      </w:pPr>
      <w:r w:rsidRPr="001E7A2C">
        <w:t>Einführungstext:</w:t>
      </w:r>
    </w:p>
    <w:p w:rsidR="00835A4E" w:rsidRDefault="00835A4E" w:rsidP="00FC4C21">
      <w:pPr>
        <w:spacing w:line="240" w:lineRule="exact"/>
        <w:jc w:val="both"/>
        <w:rPr>
          <w:sz w:val="22"/>
        </w:rPr>
      </w:pPr>
      <w:r w:rsidRPr="00FC4C21">
        <w:rPr>
          <w:sz w:val="22"/>
        </w:rPr>
        <w:t>Ausgehend von der Neuordnung der politischen Verhältnisse in Europa nach 1945 vermittelt der Einleitungstext einen groben Überblick über die Entwicklung des deutsch-polnischen Verhältnisses von 1945 bis 1990. Der Schwerpunkt liegt auf der Rolle Willy Brandts für den Annäherungsprozess beider Länder durch die Politik des „Wandels durch Annäherung“</w:t>
      </w:r>
      <w:r w:rsidR="000D5CEC" w:rsidRPr="00FC4C21">
        <w:rPr>
          <w:sz w:val="22"/>
        </w:rPr>
        <w:t>,</w:t>
      </w:r>
      <w:r w:rsidRPr="00FC4C21">
        <w:rPr>
          <w:sz w:val="22"/>
        </w:rPr>
        <w:t xml:space="preserve"> die Bedeutung des Kniefalls in Warschau 1970 für den Aussöhnungsprozess</w:t>
      </w:r>
      <w:r w:rsidR="000D5CEC" w:rsidRPr="00FC4C21">
        <w:rPr>
          <w:sz w:val="22"/>
        </w:rPr>
        <w:t xml:space="preserve"> sowie die unterschiedliche Wahrnehmung in beiden Ländern.</w:t>
      </w:r>
    </w:p>
    <w:p w:rsidR="00FC4C21" w:rsidRPr="00FC4C21" w:rsidRDefault="00FC4C21" w:rsidP="00FC4C21">
      <w:pPr>
        <w:spacing w:line="240" w:lineRule="exact"/>
        <w:jc w:val="both"/>
        <w:rPr>
          <w:rFonts w:ascii="Times New Roman" w:hAnsi="Times New Roman"/>
          <w:b/>
          <w:sz w:val="28"/>
        </w:rPr>
      </w:pPr>
    </w:p>
    <w:p w:rsidR="00835A4E" w:rsidRPr="001E7A2C" w:rsidRDefault="00835A4E" w:rsidP="00835A4E">
      <w:pPr>
        <w:pStyle w:val="0berschrift2"/>
      </w:pPr>
      <w:r w:rsidRPr="001E7A2C">
        <w:t>Themen der Arbeitsblätter</w:t>
      </w:r>
    </w:p>
    <w:p w:rsidR="00C10AD7" w:rsidRDefault="00835A4E" w:rsidP="006A572A">
      <w:pPr>
        <w:pStyle w:val="1Standardflietext"/>
        <w:jc w:val="both"/>
        <w:rPr>
          <w:b/>
        </w:rPr>
      </w:pPr>
      <w:r w:rsidRPr="00CE104A">
        <w:rPr>
          <w:b/>
        </w:rPr>
        <w:t>Arbeitsblatt 1:</w:t>
      </w:r>
      <w:r>
        <w:rPr>
          <w:b/>
        </w:rPr>
        <w:t xml:space="preserve"> </w:t>
      </w:r>
      <w:r w:rsidR="000D5CEC" w:rsidRPr="00745E38">
        <w:t xml:space="preserve">„Wir gewähren </w:t>
      </w:r>
      <w:r w:rsidR="000D5CEC" w:rsidRPr="006A572A">
        <w:rPr>
          <w:rFonts w:eastAsiaTheme="minorEastAsia" w:cs="Arial"/>
          <w:szCs w:val="22"/>
        </w:rPr>
        <w:t>Vergebung</w:t>
      </w:r>
      <w:r w:rsidR="000D5CEC" w:rsidRPr="00745E38">
        <w:t xml:space="preserve"> und bitten um Vergebung“ </w:t>
      </w:r>
      <w:r w:rsidR="000D5CEC">
        <w:t>–</w:t>
      </w:r>
      <w:r w:rsidR="000D5CEC" w:rsidRPr="00745E38">
        <w:t xml:space="preserve"> </w:t>
      </w:r>
      <w:r w:rsidR="000D5CEC">
        <w:t>Der Brief der</w:t>
      </w:r>
      <w:r w:rsidR="00FC4C21">
        <w:t xml:space="preserve"> </w:t>
      </w:r>
      <w:r w:rsidR="000D5CEC">
        <w:t xml:space="preserve">polnischen Bischöfe 1965 als </w:t>
      </w:r>
      <w:r w:rsidR="000D5CEC" w:rsidRPr="00745E38">
        <w:t>erster Schritt zur Versöhnung</w:t>
      </w:r>
      <w:r w:rsidR="000D5CEC" w:rsidRPr="00CE104A" w:rsidDel="000D5CEC">
        <w:rPr>
          <w:b/>
        </w:rPr>
        <w:t xml:space="preserve"> </w:t>
      </w:r>
    </w:p>
    <w:p w:rsidR="00EB5B97" w:rsidRDefault="00835A4E" w:rsidP="006A572A">
      <w:pPr>
        <w:pStyle w:val="1Standardflietext"/>
        <w:jc w:val="both"/>
      </w:pPr>
      <w:r>
        <w:rPr>
          <w:b/>
        </w:rPr>
        <w:t xml:space="preserve">Arbeitsblatt 2: </w:t>
      </w:r>
      <w:r w:rsidR="000D5CEC" w:rsidRPr="00FC4C21">
        <w:t>„</w:t>
      </w:r>
      <w:r w:rsidRPr="00745E38">
        <w:t xml:space="preserve">Durfte Brandt </w:t>
      </w:r>
      <w:r w:rsidRPr="006A572A">
        <w:rPr>
          <w:rFonts w:eastAsiaTheme="minorEastAsia" w:cs="Arial"/>
          <w:szCs w:val="22"/>
        </w:rPr>
        <w:t>knien</w:t>
      </w:r>
      <w:r w:rsidRPr="00745E38">
        <w:t>?</w:t>
      </w:r>
      <w:r w:rsidR="000D5CEC">
        <w:t>“</w:t>
      </w:r>
      <w:r>
        <w:t xml:space="preserve"> (</w:t>
      </w:r>
      <w:r w:rsidR="00E01A21">
        <w:t>Titelstory „</w:t>
      </w:r>
      <w:r>
        <w:t>Der Spiegel</w:t>
      </w:r>
      <w:r w:rsidR="00E01A21">
        <w:t>“</w:t>
      </w:r>
      <w:r>
        <w:t xml:space="preserve">, </w:t>
      </w:r>
      <w:r w:rsidR="00E01A21">
        <w:t xml:space="preserve">Dezember </w:t>
      </w:r>
      <w:r>
        <w:t>1970)</w:t>
      </w:r>
    </w:p>
    <w:p w:rsidR="00835A4E" w:rsidRPr="00EB5B97" w:rsidRDefault="00835A4E" w:rsidP="006A572A">
      <w:pPr>
        <w:pStyle w:val="1Standardflietext"/>
        <w:jc w:val="both"/>
      </w:pPr>
      <w:r>
        <w:rPr>
          <w:b/>
        </w:rPr>
        <w:t>Arbeitsblatt 3</w:t>
      </w:r>
      <w:r w:rsidRPr="00CE104A">
        <w:rPr>
          <w:b/>
        </w:rPr>
        <w:t xml:space="preserve">: </w:t>
      </w:r>
      <w:r w:rsidRPr="00745E38">
        <w:t>Der Warschauer Vertrag in der politischen Diskussion</w:t>
      </w:r>
    </w:p>
    <w:p w:rsidR="00835A4E" w:rsidRPr="00CE104A" w:rsidRDefault="00835A4E" w:rsidP="00835A4E">
      <w:pPr>
        <w:pStyle w:val="1Standardflietext"/>
        <w:spacing w:after="0"/>
        <w:rPr>
          <w:b/>
        </w:rPr>
      </w:pPr>
    </w:p>
    <w:p w:rsidR="00835A4E" w:rsidRDefault="00835A4E" w:rsidP="00835A4E">
      <w:pPr>
        <w:pStyle w:val="1Standardflietext"/>
        <w:spacing w:after="0"/>
        <w:rPr>
          <w:b/>
        </w:rPr>
      </w:pPr>
    </w:p>
    <w:p w:rsidR="00DE7FC9" w:rsidRDefault="00DE7FC9" w:rsidP="00835A4E">
      <w:pPr>
        <w:pStyle w:val="1Standardflietext"/>
        <w:spacing w:after="0"/>
        <w:rPr>
          <w:b/>
        </w:rPr>
      </w:pPr>
    </w:p>
    <w:p w:rsidR="00DE7FC9" w:rsidRDefault="00DE7FC9" w:rsidP="00835A4E">
      <w:pPr>
        <w:pStyle w:val="1Standardflietext"/>
        <w:spacing w:after="0"/>
        <w:rPr>
          <w:b/>
        </w:rPr>
      </w:pPr>
    </w:p>
    <w:p w:rsidR="00DE7FC9" w:rsidRDefault="00DE7FC9" w:rsidP="00835A4E">
      <w:pPr>
        <w:pStyle w:val="1Standardflietext"/>
        <w:spacing w:after="0"/>
        <w:rPr>
          <w:b/>
        </w:rPr>
      </w:pPr>
    </w:p>
    <w:p w:rsidR="00DE7FC9" w:rsidRDefault="00DE7FC9" w:rsidP="00835A4E">
      <w:pPr>
        <w:pStyle w:val="1Standardflietext"/>
        <w:spacing w:after="0"/>
        <w:rPr>
          <w:b/>
        </w:rPr>
      </w:pPr>
    </w:p>
    <w:p w:rsidR="00DE7FC9" w:rsidRDefault="00DE7FC9" w:rsidP="00835A4E">
      <w:pPr>
        <w:pStyle w:val="1Standardflietext"/>
        <w:spacing w:after="0"/>
        <w:rPr>
          <w:b/>
        </w:rPr>
      </w:pPr>
    </w:p>
    <w:p w:rsidR="00DE7FC9" w:rsidRDefault="00DE7FC9" w:rsidP="00835A4E">
      <w:pPr>
        <w:pStyle w:val="1Standardflietext"/>
        <w:spacing w:after="0"/>
        <w:rPr>
          <w:b/>
        </w:rPr>
      </w:pPr>
    </w:p>
    <w:p w:rsidR="00835A4E" w:rsidRDefault="00835A4E" w:rsidP="00835A4E">
      <w:pPr>
        <w:pStyle w:val="1Standardflietext"/>
        <w:spacing w:after="0"/>
        <w:rPr>
          <w:rFonts w:ascii="Times New Roman" w:hAnsi="Times New Roman"/>
          <w:b/>
          <w:sz w:val="24"/>
        </w:rPr>
      </w:pPr>
    </w:p>
    <w:p w:rsidR="00835A4E" w:rsidRDefault="00835A4E" w:rsidP="00835A4E">
      <w:pPr>
        <w:pStyle w:val="0berschrift2"/>
        <w:rPr>
          <w:lang w:eastAsia="en-US"/>
        </w:rPr>
      </w:pPr>
      <w:r w:rsidRPr="001E7A2C">
        <w:rPr>
          <w:lang w:eastAsia="en-US"/>
        </w:rPr>
        <w:lastRenderedPageBreak/>
        <w:t>Themen, Links und Literatur</w:t>
      </w:r>
    </w:p>
    <w:p w:rsidR="00E62873" w:rsidRPr="00E62873" w:rsidRDefault="00E62873" w:rsidP="00E62873">
      <w:pPr>
        <w:pStyle w:val="1Standardflietext"/>
        <w:spacing w:after="120"/>
        <w:jc w:val="both"/>
        <w:rPr>
          <w:lang w:eastAsia="en-US"/>
        </w:rPr>
      </w:pPr>
      <w:r w:rsidRPr="00E62873">
        <w:rPr>
          <w:rStyle w:val="1kursiv"/>
          <w:i w:val="0"/>
        </w:rPr>
        <w:t>Die Themenvorschläge für Referate oder Hausarbeiten sollen LehrerInnen Möglichkeiten aufzeigen, das Thema mit den SchülerInnen zu bearbeiten. Entsprechende Hinweise zur Sekundärliteratur erleichtern die Recherche und geben erste Anhaltspunkte für den Arbeitseinstieg.</w:t>
      </w:r>
    </w:p>
    <w:p w:rsidR="00835A4E" w:rsidRDefault="00835A4E" w:rsidP="00835A4E">
      <w:pPr>
        <w:pStyle w:val="0berschrift3"/>
        <w:rPr>
          <w:lang w:eastAsia="en-US"/>
        </w:rPr>
      </w:pPr>
      <w:r>
        <w:rPr>
          <w:lang w:eastAsia="en-US"/>
        </w:rPr>
        <w:t>Themen fü</w:t>
      </w:r>
      <w:r w:rsidR="00EB5B97">
        <w:rPr>
          <w:lang w:eastAsia="en-US"/>
        </w:rPr>
        <w:t xml:space="preserve">r Referate und </w:t>
      </w:r>
      <w:r w:rsidR="00A14B73">
        <w:rPr>
          <w:lang w:eastAsia="en-US"/>
        </w:rPr>
        <w:t>Haus</w:t>
      </w:r>
      <w:r w:rsidR="00EB5B97">
        <w:rPr>
          <w:lang w:eastAsia="en-US"/>
        </w:rPr>
        <w:t>arbeiten</w:t>
      </w:r>
    </w:p>
    <w:p w:rsidR="00835A4E" w:rsidRPr="00935417" w:rsidRDefault="00835A4E" w:rsidP="00E62873">
      <w:pPr>
        <w:pStyle w:val="1Standardflietext"/>
        <w:spacing w:before="120" w:after="0"/>
        <w:jc w:val="both"/>
        <w:rPr>
          <w:i/>
        </w:rPr>
      </w:pPr>
      <w:r w:rsidRPr="00935417">
        <w:rPr>
          <w:i/>
        </w:rPr>
        <w:t>Die Bedeutung des Kniefalls von Willy Brandt für den Aussöhnungsprozess zwischen Deutschen und Polen.</w:t>
      </w:r>
    </w:p>
    <w:p w:rsidR="00835A4E" w:rsidRDefault="00835A4E" w:rsidP="00C10AD7">
      <w:pPr>
        <w:pStyle w:val="1Standardflietext"/>
        <w:spacing w:after="0"/>
        <w:jc w:val="both"/>
      </w:pPr>
    </w:p>
    <w:p w:rsidR="00835A4E" w:rsidRDefault="00D66C66" w:rsidP="00C10AD7">
      <w:pPr>
        <w:pStyle w:val="1Standardflietext"/>
        <w:spacing w:after="0"/>
        <w:jc w:val="both"/>
        <w:rPr>
          <w:rStyle w:val="1kursiv"/>
        </w:rPr>
      </w:pPr>
      <w:r>
        <w:rPr>
          <w:rStyle w:val="1kursiv"/>
        </w:rPr>
        <w:t>Der Warschauer Vertrag</w:t>
      </w:r>
      <w:r w:rsidR="00835A4E" w:rsidRPr="00935417">
        <w:rPr>
          <w:rStyle w:val="1kursiv"/>
        </w:rPr>
        <w:t xml:space="preserve"> von 1970 u</w:t>
      </w:r>
      <w:r>
        <w:rPr>
          <w:rStyle w:val="1kursiv"/>
        </w:rPr>
        <w:t>nd seine</w:t>
      </w:r>
      <w:r w:rsidR="00835A4E" w:rsidRPr="00935417">
        <w:rPr>
          <w:rStyle w:val="1kursiv"/>
        </w:rPr>
        <w:t xml:space="preserve"> Bedeutung für die spätere Lösung der Grenzfrage </w:t>
      </w:r>
      <w:r w:rsidR="00835A4E">
        <w:rPr>
          <w:rStyle w:val="1kursiv"/>
        </w:rPr>
        <w:t>zwischen Deutschland und Polen.</w:t>
      </w:r>
    </w:p>
    <w:p w:rsidR="004F1735" w:rsidRPr="00745E38" w:rsidRDefault="004F1735" w:rsidP="00C10AD7">
      <w:pPr>
        <w:pStyle w:val="1Standardflietext"/>
        <w:spacing w:after="0"/>
        <w:jc w:val="both"/>
        <w:rPr>
          <w:i/>
        </w:rPr>
      </w:pPr>
    </w:p>
    <w:p w:rsidR="00835A4E" w:rsidRDefault="00835A4E" w:rsidP="00835A4E">
      <w:pPr>
        <w:pStyle w:val="0berschrift3"/>
      </w:pPr>
      <w:r>
        <w:t>Das Thema im Internet</w:t>
      </w:r>
    </w:p>
    <w:p w:rsidR="00835A4E" w:rsidRDefault="00835A4E" w:rsidP="00E62873">
      <w:pPr>
        <w:pStyle w:val="1Standardflietext"/>
        <w:spacing w:before="120" w:after="0"/>
      </w:pPr>
      <w:r>
        <w:t>Kostenpfli</w:t>
      </w:r>
      <w:r w:rsidR="00FC4C21">
        <w:t>chtige Arbeitsblätter zum Thema</w:t>
      </w:r>
    </w:p>
    <w:p w:rsidR="00835A4E" w:rsidRDefault="00804F43" w:rsidP="00102B84">
      <w:pPr>
        <w:pStyle w:val="1Standardflietext"/>
        <w:spacing w:after="0"/>
      </w:pPr>
      <w:hyperlink r:id="rId10" w:history="1">
        <w:r w:rsidR="00835A4E" w:rsidRPr="0059275B">
          <w:rPr>
            <w:rStyle w:val="Hyperlink"/>
          </w:rPr>
          <w:t>http://www.cornelsen.de/home/katalog/akd/1.c.1924536.de</w:t>
        </w:r>
      </w:hyperlink>
    </w:p>
    <w:p w:rsidR="00835A4E" w:rsidRDefault="00835A4E" w:rsidP="00102B84">
      <w:pPr>
        <w:pStyle w:val="1Standardflietext"/>
        <w:spacing w:after="0"/>
      </w:pPr>
    </w:p>
    <w:p w:rsidR="00835A4E" w:rsidRDefault="00835A4E" w:rsidP="00102B84">
      <w:pPr>
        <w:pStyle w:val="1Standardflietext"/>
        <w:spacing w:after="0"/>
      </w:pPr>
      <w:r>
        <w:t xml:space="preserve">Arbeitsblatt des Cornelsen-Verlags im </w:t>
      </w:r>
      <w:r w:rsidR="00FC4C21">
        <w:t>Rahmen des Aktualitätendienstes</w:t>
      </w:r>
    </w:p>
    <w:p w:rsidR="00835A4E" w:rsidRDefault="00804F43" w:rsidP="00102B84">
      <w:pPr>
        <w:pStyle w:val="1Standardflietext"/>
        <w:spacing w:after="0"/>
      </w:pPr>
      <w:hyperlink r:id="rId11" w:history="1">
        <w:r w:rsidR="00835A4E" w:rsidRPr="0059275B">
          <w:rPr>
            <w:rStyle w:val="Hyperlink"/>
          </w:rPr>
          <w:t>http://www.verlag20.de/unterrichtsmaterial/1402</w:t>
        </w:r>
      </w:hyperlink>
    </w:p>
    <w:p w:rsidR="00835A4E" w:rsidRDefault="00835A4E" w:rsidP="00102B84">
      <w:pPr>
        <w:pStyle w:val="1Standardflietext"/>
        <w:spacing w:after="0"/>
      </w:pPr>
    </w:p>
    <w:p w:rsidR="00835A4E" w:rsidRDefault="00835A4E" w:rsidP="00102B84">
      <w:pPr>
        <w:pStyle w:val="1Standardflietext"/>
        <w:spacing w:after="0"/>
      </w:pPr>
      <w:r>
        <w:t>Einführungstext zu 40 Jahren Warschauer Vertrag (Bundeszentrale für politische Bildung)</w:t>
      </w:r>
    </w:p>
    <w:p w:rsidR="00835A4E" w:rsidRDefault="00804F43" w:rsidP="00102B84">
      <w:pPr>
        <w:pStyle w:val="1Standardflietext"/>
        <w:spacing w:after="0"/>
      </w:pPr>
      <w:hyperlink r:id="rId12" w:history="1">
        <w:r w:rsidR="00835A4E" w:rsidRPr="0059275B">
          <w:rPr>
            <w:rStyle w:val="Hyperlink"/>
          </w:rPr>
          <w:t>http://www.bpb.de/politik/hintergrund-aktuell/68933/40-jahre-warschauer-vertrag-06-12-2010</w:t>
        </w:r>
      </w:hyperlink>
    </w:p>
    <w:p w:rsidR="00835A4E" w:rsidRDefault="00835A4E" w:rsidP="00102B84">
      <w:pPr>
        <w:pStyle w:val="1Standardflietext"/>
        <w:spacing w:after="0"/>
        <w:rPr>
          <w:i/>
          <w:iCs/>
        </w:rPr>
      </w:pPr>
    </w:p>
    <w:p w:rsidR="00835A4E" w:rsidRPr="009958F7" w:rsidRDefault="00835A4E" w:rsidP="00102B84">
      <w:pPr>
        <w:pStyle w:val="1Standardflietext"/>
        <w:spacing w:after="0"/>
        <w:rPr>
          <w:rStyle w:val="1kursiv"/>
          <w:i w:val="0"/>
        </w:rPr>
      </w:pPr>
      <w:r w:rsidRPr="009958F7">
        <w:rPr>
          <w:rStyle w:val="1kursiv"/>
          <w:i w:val="0"/>
        </w:rPr>
        <w:t>Hintergrundinformationen zum Brief der polnischen Bischöfe an ihr</w:t>
      </w:r>
      <w:r w:rsidR="00FC4C21">
        <w:rPr>
          <w:rStyle w:val="1kursiv"/>
          <w:i w:val="0"/>
        </w:rPr>
        <w:t>e deutschen Amtsbrüder von 1965</w:t>
      </w:r>
    </w:p>
    <w:p w:rsidR="00835A4E" w:rsidRDefault="00804F43" w:rsidP="00102B84">
      <w:pPr>
        <w:pStyle w:val="1Standardflietext"/>
        <w:spacing w:after="0"/>
      </w:pPr>
      <w:hyperlink r:id="rId13" w:history="1">
        <w:r w:rsidR="00835A4E" w:rsidRPr="0059275B">
          <w:rPr>
            <w:rStyle w:val="Hyperlink"/>
          </w:rPr>
          <w:t>http://www.deutsche-und-polen.de/ereignisse/ereignis_jsp/key=ein_versoehnungszeichen_1965.html</w:t>
        </w:r>
      </w:hyperlink>
    </w:p>
    <w:p w:rsidR="00835A4E" w:rsidRPr="00503368" w:rsidRDefault="00835A4E" w:rsidP="00835A4E">
      <w:pPr>
        <w:pStyle w:val="1Standardflietext"/>
      </w:pPr>
    </w:p>
    <w:p w:rsidR="00835A4E" w:rsidRDefault="00835A4E" w:rsidP="00835A4E">
      <w:pPr>
        <w:pStyle w:val="0berschrift3"/>
      </w:pPr>
      <w:r>
        <w:t>Weiterführende Literatur</w:t>
      </w:r>
    </w:p>
    <w:p w:rsidR="00835A4E" w:rsidRDefault="00835A4E" w:rsidP="00E62873">
      <w:pPr>
        <w:pStyle w:val="1Standardflietext"/>
        <w:spacing w:after="200"/>
      </w:pPr>
      <w:r>
        <w:t>Bender, Peter: Polen und Deutsche – Eine historische Bilanz. In: Albrecht Riechers, Christian Schröter, Basil Kerski (Hrsg.): Dialog der Bürger. Die gesellschaftliche Ebene der deutsch-polnischen Nachbarschaft. Osnabrück: fibre 2005, S. 39–50.</w:t>
      </w:r>
    </w:p>
    <w:p w:rsidR="002574F4" w:rsidRPr="002574F4" w:rsidRDefault="00E62873" w:rsidP="00E62873">
      <w:pPr>
        <w:pStyle w:val="1Standardflietext"/>
        <w:spacing w:after="200"/>
      </w:pPr>
      <w:r>
        <w:t>Behrens, Alexander (Hrsg.): „</w:t>
      </w:r>
      <w:r w:rsidR="002574F4" w:rsidRPr="002574F4">
        <w:t>Durfte Brandt knien?". Der Kniefall in Warschau und der deutsch-polnische Vertrag. Eine Dokumentation der Meinungen. Bonn</w:t>
      </w:r>
      <w:r w:rsidR="002574F4">
        <w:t>: Dietz</w:t>
      </w:r>
      <w:r w:rsidR="002574F4" w:rsidRPr="002574F4">
        <w:t xml:space="preserve"> 2010.</w:t>
      </w:r>
    </w:p>
    <w:p w:rsidR="000D5CEC" w:rsidRDefault="00835A4E" w:rsidP="00102B84">
      <w:pPr>
        <w:pStyle w:val="1Standardflietext"/>
        <w:spacing w:after="0"/>
      </w:pPr>
      <w:r>
        <w:t xml:space="preserve">Bingen, Dieter: Die Polenpolitik der Bonner Republik von Adenauer bis Kohl 1949–1991 (= Schriftenreihe des Bundesinstituts für ostwissenschaftliche und internationale Studien. Bd. 33). Baden-Baden: Nomos 1998. </w:t>
      </w:r>
    </w:p>
    <w:p w:rsidR="00835A4E" w:rsidRDefault="00E62873" w:rsidP="00E62873">
      <w:pPr>
        <w:pStyle w:val="1Standardflietext"/>
        <w:spacing w:after="200"/>
        <w:rPr>
          <w:i/>
        </w:rPr>
      </w:pPr>
      <w:r>
        <w:rPr>
          <w:i/>
        </w:rPr>
        <w:t>Im Schlusskapitel (S. 307-</w:t>
      </w:r>
      <w:r w:rsidR="00835A4E" w:rsidRPr="00C10AD7">
        <w:rPr>
          <w:i/>
        </w:rPr>
        <w:t xml:space="preserve">322) präzise Zusammenfassung der Grundprobleme der deutsch-polnischen </w:t>
      </w:r>
      <w:r w:rsidR="00835A4E" w:rsidRPr="00E62873">
        <w:rPr>
          <w:i/>
        </w:rPr>
        <w:t>Beziehungen.</w:t>
      </w:r>
    </w:p>
    <w:p w:rsidR="00D67214" w:rsidRPr="00D67214" w:rsidRDefault="00D67214" w:rsidP="00E62873">
      <w:pPr>
        <w:pStyle w:val="1Standardflietext"/>
        <w:spacing w:after="200"/>
      </w:pPr>
      <w:r>
        <w:t xml:space="preserve">Kneip, Matthias; Manfred Mack: Annäherung durch Anerkennung. Deutschland und Polen nach 1945. In: Dies.: </w:t>
      </w:r>
      <w:r w:rsidRPr="00D67214">
        <w:t>Polnische Geschichte und deutsch-polnische Beziehungen. Berlin</w:t>
      </w:r>
      <w:r>
        <w:t xml:space="preserve">: </w:t>
      </w:r>
      <w:r w:rsidRPr="00D67214">
        <w:t>Cornelsen 2007</w:t>
      </w:r>
      <w:r>
        <w:t>, S. 110-119.</w:t>
      </w:r>
    </w:p>
    <w:p w:rsidR="00835A4E" w:rsidRDefault="00835A4E" w:rsidP="00E62873">
      <w:pPr>
        <w:pStyle w:val="1Standardflietext"/>
        <w:spacing w:after="200"/>
      </w:pPr>
      <w:r>
        <w:t>Jacobse</w:t>
      </w:r>
      <w:r w:rsidR="00C10AD7">
        <w:t>n, Hans-Adolf; Tomala, Mieczysł</w:t>
      </w:r>
      <w:r>
        <w:t>aw (Hrsg.): Bonn – Warschau 1945–1991. Die deutsch-polnischen Beziehungen. Analyse und Dokumentation. Köln: Wissenschaft und Politik 1992.</w:t>
      </w:r>
    </w:p>
    <w:p w:rsidR="00835A4E" w:rsidRDefault="00835A4E" w:rsidP="00E62873">
      <w:pPr>
        <w:pStyle w:val="1Standardflietext"/>
        <w:spacing w:after="200"/>
      </w:pPr>
      <w:r>
        <w:t>Kerski, Basil: Die Rolle nichtstaatlicher Akteure in den deutsch-polnischen Beziehungen vor 1990. In: Albrecht Riechers, Christian Schröter, Basil Kerski (Hrsg.): Dialog der Bürger. Die gesellschaftliche Ebene der deutsch-polnischen Nachbarschaft. Osnabrück: fibre 2005, S. 59–98.</w:t>
      </w:r>
    </w:p>
    <w:p w:rsidR="000D5CEC" w:rsidRDefault="00835A4E" w:rsidP="00102B84">
      <w:pPr>
        <w:pStyle w:val="1Standardflietext"/>
        <w:spacing w:after="0"/>
      </w:pPr>
      <w:r>
        <w:t xml:space="preserve">Ruchniewicz, Krzysztof: Geste mit politischer Langzeitwirkung. Willy Brandts Kniefall vor dem Ghetto-Denkmal in Warschau. In: Geschichte lernen. Heft 102/2004, S. 63–66. </w:t>
      </w:r>
    </w:p>
    <w:p w:rsidR="00E62873" w:rsidRPr="00C10AD7" w:rsidRDefault="00835A4E" w:rsidP="00102B84">
      <w:pPr>
        <w:pStyle w:val="1Standardflietext"/>
        <w:spacing w:after="0"/>
        <w:rPr>
          <w:i/>
        </w:rPr>
      </w:pPr>
      <w:r w:rsidRPr="00C10AD7">
        <w:rPr>
          <w:i/>
        </w:rPr>
        <w:t>Didaktisch aufbereitete Darstellung mit zahlreichen Arbeitsmaterialien.</w:t>
      </w:r>
    </w:p>
    <w:sectPr w:rsidR="00E62873" w:rsidRPr="00C10AD7"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43" w:rsidRDefault="00804F43">
      <w:r>
        <w:separator/>
      </w:r>
    </w:p>
    <w:p w:rsidR="00804F43" w:rsidRDefault="00804F43"/>
    <w:p w:rsidR="00804F43" w:rsidRDefault="00804F43"/>
    <w:p w:rsidR="00804F43" w:rsidRDefault="00804F43"/>
    <w:p w:rsidR="00804F43" w:rsidRDefault="00804F43"/>
    <w:p w:rsidR="00804F43" w:rsidRDefault="00804F43"/>
    <w:p w:rsidR="00804F43" w:rsidRDefault="00804F43"/>
    <w:p w:rsidR="00804F43" w:rsidRDefault="00804F43"/>
  </w:endnote>
  <w:endnote w:type="continuationSeparator" w:id="0">
    <w:p w:rsidR="00804F43" w:rsidRDefault="00804F43">
      <w:r>
        <w:continuationSeparator/>
      </w:r>
    </w:p>
    <w:p w:rsidR="00804F43" w:rsidRDefault="00804F43"/>
    <w:p w:rsidR="00804F43" w:rsidRDefault="00804F43"/>
    <w:p w:rsidR="00804F43" w:rsidRDefault="00804F43"/>
    <w:p w:rsidR="00804F43" w:rsidRDefault="00804F43"/>
    <w:p w:rsidR="00804F43" w:rsidRDefault="00804F43"/>
    <w:p w:rsidR="00804F43" w:rsidRDefault="00804F43"/>
    <w:p w:rsidR="00804F43" w:rsidRDefault="00804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9491D"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4A0" w:firstRow="1" w:lastRow="0" w:firstColumn="1" w:lastColumn="0" w:noHBand="0" w:noVBand="1"/>
          </w:tblPr>
          <w:tblGrid>
            <w:gridCol w:w="1919"/>
            <w:gridCol w:w="4519"/>
            <w:gridCol w:w="2861"/>
          </w:tblGrid>
          <w:tr w:rsidR="001171E8" w:rsidTr="001171E8">
            <w:trPr>
              <w:trHeight w:val="132"/>
            </w:trPr>
            <w:tc>
              <w:tcPr>
                <w:tcW w:w="1919" w:type="dxa"/>
                <w:tcBorders>
                  <w:top w:val="single" w:sz="4" w:space="0" w:color="auto"/>
                  <w:left w:val="nil"/>
                  <w:bottom w:val="nil"/>
                  <w:right w:val="nil"/>
                </w:tcBorders>
              </w:tcPr>
              <w:p w:rsidR="001171E8" w:rsidRDefault="001171E8">
                <w:pPr>
                  <w:spacing w:after="0"/>
                  <w:rPr>
                    <w:rFonts w:ascii="Times New Roman" w:hAnsi="Times New Roman"/>
                    <w:noProof/>
                    <w:sz w:val="16"/>
                    <w:szCs w:val="16"/>
                  </w:rPr>
                </w:pPr>
              </w:p>
              <w:p w:rsidR="001171E8" w:rsidRDefault="001171E8">
                <w:pPr>
                  <w:spacing w:after="0" w:line="264" w:lineRule="auto"/>
                  <w:rPr>
                    <w:rFonts w:ascii="Times New Roman" w:hAnsi="Times New Roman"/>
                    <w:sz w:val="16"/>
                    <w:szCs w:val="16"/>
                  </w:rPr>
                </w:pPr>
                <w:r>
                  <w:rPr>
                    <w:rFonts w:ascii="Times New Roman" w:hAnsi="Times New Roman"/>
                    <w:noProof/>
                    <w:sz w:val="16"/>
                    <w:szCs w:val="16"/>
                  </w:rPr>
                  <w:drawing>
                    <wp:inline distT="0" distB="0" distL="0" distR="0" wp14:anchorId="6F44CBEB" wp14:editId="3D4FEBDC">
                      <wp:extent cx="942975" cy="323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2385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rsidR="001171E8" w:rsidRDefault="001171E8">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hideMark/>
              </w:tcPr>
              <w:p w:rsidR="001171E8" w:rsidRDefault="001171E8">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90CDF">
                  <w:rPr>
                    <w:rFonts w:ascii="Times New Roman" w:hAnsi="Times New Roman"/>
                    <w:noProof/>
                  </w:rPr>
                  <w:t>1</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90CDF">
                  <w:rPr>
                    <w:rFonts w:ascii="Times New Roman" w:hAnsi="Times New Roman"/>
                    <w:noProof/>
                  </w:rPr>
                  <w:t>3</w:t>
                </w:r>
                <w:r>
                  <w:rPr>
                    <w:rFonts w:ascii="Times New Roman" w:hAnsi="Times New Roman"/>
                  </w:rPr>
                  <w:fldChar w:fldCharType="end"/>
                </w:r>
                <w:r>
                  <w:rPr>
                    <w:rFonts w:ascii="Times New Roman" w:hAnsi="Times New Roman"/>
                  </w:rPr>
                  <w:br/>
                </w: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43" w:rsidRDefault="00804F43">
      <w:r>
        <w:separator/>
      </w:r>
    </w:p>
    <w:p w:rsidR="00804F43" w:rsidRDefault="00804F43"/>
    <w:p w:rsidR="00804F43" w:rsidRDefault="00804F43"/>
    <w:p w:rsidR="00804F43" w:rsidRDefault="00804F43"/>
    <w:p w:rsidR="00804F43" w:rsidRDefault="00804F43"/>
    <w:p w:rsidR="00804F43" w:rsidRDefault="00804F43"/>
    <w:p w:rsidR="00804F43" w:rsidRDefault="00804F43"/>
    <w:p w:rsidR="00804F43" w:rsidRDefault="00804F43"/>
  </w:footnote>
  <w:footnote w:type="continuationSeparator" w:id="0">
    <w:p w:rsidR="00804F43" w:rsidRDefault="00804F43">
      <w:r>
        <w:continuationSeparator/>
      </w:r>
    </w:p>
    <w:p w:rsidR="00804F43" w:rsidRDefault="00804F43"/>
    <w:p w:rsidR="00804F43" w:rsidRDefault="00804F43"/>
    <w:p w:rsidR="00804F43" w:rsidRDefault="00804F43"/>
    <w:p w:rsidR="00804F43" w:rsidRDefault="00804F43"/>
    <w:p w:rsidR="00804F43" w:rsidRDefault="00804F43"/>
    <w:p w:rsidR="00804F43" w:rsidRDefault="00804F43"/>
    <w:p w:rsidR="00804F43" w:rsidRDefault="00804F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RPr="00FC4C21" w:rsidTr="0003613B">
      <w:trPr>
        <w:trHeight w:val="272"/>
      </w:trPr>
      <w:tc>
        <w:tcPr>
          <w:tcW w:w="6946" w:type="dxa"/>
        </w:tcPr>
        <w:p w:rsidR="009F6231" w:rsidRPr="00FC4C21" w:rsidRDefault="00835A4E" w:rsidP="00650060">
          <w:pPr>
            <w:pStyle w:val="0berschrift4"/>
            <w:rPr>
              <w:sz w:val="20"/>
            </w:rPr>
          </w:pPr>
          <w:r w:rsidRPr="00FC4C21">
            <w:rPr>
              <w:sz w:val="20"/>
            </w:rPr>
            <w:t>Willy Brandts Kniefall und der Warschauer Vertrag 1970</w:t>
          </w:r>
          <w:r w:rsidR="00460316" w:rsidRPr="00FC4C21">
            <w:rPr>
              <w:sz w:val="20"/>
            </w:rPr>
            <w:t xml:space="preserve"> </w:t>
          </w:r>
          <w:r w:rsidR="00AA2221" w:rsidRPr="00FC4C21">
            <w:rPr>
              <w:noProof/>
              <w:sz w:val="20"/>
            </w:rPr>
            <mc:AlternateContent>
              <mc:Choice Requires="wps">
                <w:drawing>
                  <wp:anchor distT="0" distB="0" distL="114300" distR="114300" simplePos="0" relativeHeight="251657728" behindDoc="0" locked="0" layoutInCell="1" allowOverlap="1" wp14:anchorId="2DD08CE8" wp14:editId="34BA5E19">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08CE8"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FC4C21" w:rsidRDefault="00835A4E" w:rsidP="00FC4C21">
          <w:pPr>
            <w:pStyle w:val="0berschrift4"/>
            <w:jc w:val="center"/>
            <w:rPr>
              <w:sz w:val="20"/>
            </w:rPr>
          </w:pPr>
          <w:r w:rsidRPr="00FC4C21">
            <w:rPr>
              <w:b/>
              <w:sz w:val="20"/>
            </w:rPr>
            <w:t>Geschichte</w:t>
          </w:r>
          <w:r w:rsidR="009F6231" w:rsidRPr="00FC4C21">
            <w:rPr>
              <w:rStyle w:val="RahmenSymbol"/>
              <w:sz w:val="20"/>
            </w:rPr>
            <w:t></w:t>
          </w:r>
        </w:p>
      </w:tc>
    </w:tr>
    <w:tr w:rsidR="00EE4AFB" w:rsidRPr="00FC4C21" w:rsidTr="0003613B">
      <w:trPr>
        <w:trHeight w:val="272"/>
      </w:trPr>
      <w:tc>
        <w:tcPr>
          <w:tcW w:w="8714" w:type="dxa"/>
          <w:gridSpan w:val="2"/>
        </w:tcPr>
        <w:p w:rsidR="00620DEC" w:rsidRPr="00FC4C21" w:rsidRDefault="002B4F3B" w:rsidP="0003613B">
          <w:pPr>
            <w:pStyle w:val="1Standardflietext"/>
            <w:tabs>
              <w:tab w:val="left" w:pos="2100"/>
            </w:tabs>
            <w:spacing w:after="0"/>
            <w:rPr>
              <w:i/>
              <w:sz w:val="20"/>
            </w:rPr>
          </w:pPr>
          <w:r w:rsidRPr="00FC4C21">
            <w:rPr>
              <w:i/>
              <w:sz w:val="20"/>
            </w:rPr>
            <w:tab/>
          </w:r>
        </w:p>
      </w:tc>
      <w:tc>
        <w:tcPr>
          <w:tcW w:w="999" w:type="dxa"/>
        </w:tcPr>
        <w:p w:rsidR="00EE4AFB" w:rsidRPr="00FC4C21" w:rsidRDefault="00EE4AFB" w:rsidP="0003613B">
          <w:pPr>
            <w:pStyle w:val="RahmenKopfzeilerechts"/>
            <w:rPr>
              <w:rStyle w:val="RahmenKopfzeilerechtsZchnZchn"/>
              <w:i/>
              <w:sz w:val="20"/>
              <w:szCs w:val="20"/>
            </w:rPr>
          </w:pPr>
        </w:p>
      </w:tc>
    </w:tr>
  </w:tbl>
  <w:p w:rsidR="00C030FF" w:rsidRPr="00FC4C21" w:rsidRDefault="00C030FF"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12FD5"/>
    <w:rsid w:val="00023CF4"/>
    <w:rsid w:val="00026C0A"/>
    <w:rsid w:val="00026FB6"/>
    <w:rsid w:val="000270EA"/>
    <w:rsid w:val="00035908"/>
    <w:rsid w:val="0003613B"/>
    <w:rsid w:val="000370C4"/>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7625"/>
    <w:rsid w:val="00114C43"/>
    <w:rsid w:val="001171E8"/>
    <w:rsid w:val="00121293"/>
    <w:rsid w:val="00127484"/>
    <w:rsid w:val="00137907"/>
    <w:rsid w:val="0014005F"/>
    <w:rsid w:val="0014256E"/>
    <w:rsid w:val="00144887"/>
    <w:rsid w:val="00144E39"/>
    <w:rsid w:val="00146FFD"/>
    <w:rsid w:val="001506D1"/>
    <w:rsid w:val="00161CAE"/>
    <w:rsid w:val="001624A8"/>
    <w:rsid w:val="0016339B"/>
    <w:rsid w:val="0016430F"/>
    <w:rsid w:val="001674F1"/>
    <w:rsid w:val="00195BC8"/>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31684"/>
    <w:rsid w:val="00231F30"/>
    <w:rsid w:val="00232F84"/>
    <w:rsid w:val="002369BD"/>
    <w:rsid w:val="0024442C"/>
    <w:rsid w:val="00251BD7"/>
    <w:rsid w:val="00253B0C"/>
    <w:rsid w:val="00255097"/>
    <w:rsid w:val="002574F4"/>
    <w:rsid w:val="00257EB8"/>
    <w:rsid w:val="00261D70"/>
    <w:rsid w:val="00276128"/>
    <w:rsid w:val="00280069"/>
    <w:rsid w:val="00282D72"/>
    <w:rsid w:val="002833C2"/>
    <w:rsid w:val="002A3A65"/>
    <w:rsid w:val="002A4899"/>
    <w:rsid w:val="002B0CBD"/>
    <w:rsid w:val="002B4F3B"/>
    <w:rsid w:val="002C3511"/>
    <w:rsid w:val="002C39D9"/>
    <w:rsid w:val="002C49C5"/>
    <w:rsid w:val="002C525F"/>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363A"/>
    <w:rsid w:val="003D5D96"/>
    <w:rsid w:val="003D705F"/>
    <w:rsid w:val="003E1202"/>
    <w:rsid w:val="003E26FF"/>
    <w:rsid w:val="003E2862"/>
    <w:rsid w:val="003E29FB"/>
    <w:rsid w:val="003E2E7F"/>
    <w:rsid w:val="003E4DD2"/>
    <w:rsid w:val="003E5059"/>
    <w:rsid w:val="003F19DC"/>
    <w:rsid w:val="003F21D9"/>
    <w:rsid w:val="003F2BAA"/>
    <w:rsid w:val="003F367E"/>
    <w:rsid w:val="003F3A8B"/>
    <w:rsid w:val="00403829"/>
    <w:rsid w:val="00413E34"/>
    <w:rsid w:val="0042027D"/>
    <w:rsid w:val="0042038D"/>
    <w:rsid w:val="00421F52"/>
    <w:rsid w:val="00425421"/>
    <w:rsid w:val="00425D85"/>
    <w:rsid w:val="00425DEE"/>
    <w:rsid w:val="00426C09"/>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D4E71"/>
    <w:rsid w:val="004E0620"/>
    <w:rsid w:val="004E7BDB"/>
    <w:rsid w:val="004F1735"/>
    <w:rsid w:val="004F1A91"/>
    <w:rsid w:val="004F3FDF"/>
    <w:rsid w:val="005040CD"/>
    <w:rsid w:val="00504489"/>
    <w:rsid w:val="005057CD"/>
    <w:rsid w:val="0051288F"/>
    <w:rsid w:val="00514491"/>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A3093"/>
    <w:rsid w:val="005A4084"/>
    <w:rsid w:val="005B34B7"/>
    <w:rsid w:val="005B55B6"/>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A572A"/>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51EC"/>
    <w:rsid w:val="00797021"/>
    <w:rsid w:val="007A0DF3"/>
    <w:rsid w:val="007A293C"/>
    <w:rsid w:val="007A5025"/>
    <w:rsid w:val="007C2BCF"/>
    <w:rsid w:val="007D10DF"/>
    <w:rsid w:val="007D2A43"/>
    <w:rsid w:val="007D5F06"/>
    <w:rsid w:val="007D668D"/>
    <w:rsid w:val="007F1386"/>
    <w:rsid w:val="007F14F4"/>
    <w:rsid w:val="007F1F44"/>
    <w:rsid w:val="007F211B"/>
    <w:rsid w:val="007F5A4A"/>
    <w:rsid w:val="008016A2"/>
    <w:rsid w:val="00804F43"/>
    <w:rsid w:val="00811365"/>
    <w:rsid w:val="00815DD0"/>
    <w:rsid w:val="00817D12"/>
    <w:rsid w:val="008228B5"/>
    <w:rsid w:val="008246EB"/>
    <w:rsid w:val="0082598C"/>
    <w:rsid w:val="00835A4E"/>
    <w:rsid w:val="008373A4"/>
    <w:rsid w:val="00842A0D"/>
    <w:rsid w:val="00845A23"/>
    <w:rsid w:val="00863AE2"/>
    <w:rsid w:val="008647FF"/>
    <w:rsid w:val="0086596D"/>
    <w:rsid w:val="0087090A"/>
    <w:rsid w:val="008726D2"/>
    <w:rsid w:val="0087362D"/>
    <w:rsid w:val="00880D5C"/>
    <w:rsid w:val="008835DC"/>
    <w:rsid w:val="008849E7"/>
    <w:rsid w:val="00887A7D"/>
    <w:rsid w:val="00890CDF"/>
    <w:rsid w:val="008A2DF7"/>
    <w:rsid w:val="008B02A9"/>
    <w:rsid w:val="008B0642"/>
    <w:rsid w:val="008B389E"/>
    <w:rsid w:val="008B769E"/>
    <w:rsid w:val="008C277C"/>
    <w:rsid w:val="008C31A1"/>
    <w:rsid w:val="008C77F4"/>
    <w:rsid w:val="008D08AA"/>
    <w:rsid w:val="008D3F4B"/>
    <w:rsid w:val="008D66C8"/>
    <w:rsid w:val="008F70EE"/>
    <w:rsid w:val="008F7926"/>
    <w:rsid w:val="0090325E"/>
    <w:rsid w:val="009067D5"/>
    <w:rsid w:val="009129C1"/>
    <w:rsid w:val="00916304"/>
    <w:rsid w:val="00922FE0"/>
    <w:rsid w:val="009252A9"/>
    <w:rsid w:val="009252B7"/>
    <w:rsid w:val="00932B3F"/>
    <w:rsid w:val="00933B6C"/>
    <w:rsid w:val="00933E16"/>
    <w:rsid w:val="00934AB7"/>
    <w:rsid w:val="0093529E"/>
    <w:rsid w:val="00935A77"/>
    <w:rsid w:val="009378BB"/>
    <w:rsid w:val="0094147E"/>
    <w:rsid w:val="00946B15"/>
    <w:rsid w:val="00947D43"/>
    <w:rsid w:val="00956EF2"/>
    <w:rsid w:val="00962939"/>
    <w:rsid w:val="00963518"/>
    <w:rsid w:val="00971E69"/>
    <w:rsid w:val="0098656D"/>
    <w:rsid w:val="00990706"/>
    <w:rsid w:val="0099163E"/>
    <w:rsid w:val="0099491D"/>
    <w:rsid w:val="009A74FD"/>
    <w:rsid w:val="009C2A3F"/>
    <w:rsid w:val="009C4B06"/>
    <w:rsid w:val="009C5612"/>
    <w:rsid w:val="009F6231"/>
    <w:rsid w:val="00A03E9F"/>
    <w:rsid w:val="00A119F8"/>
    <w:rsid w:val="00A137FE"/>
    <w:rsid w:val="00A14B73"/>
    <w:rsid w:val="00A211DC"/>
    <w:rsid w:val="00A323A3"/>
    <w:rsid w:val="00A353D8"/>
    <w:rsid w:val="00A36401"/>
    <w:rsid w:val="00A37CDA"/>
    <w:rsid w:val="00A47ED1"/>
    <w:rsid w:val="00A529A5"/>
    <w:rsid w:val="00A53B22"/>
    <w:rsid w:val="00A54729"/>
    <w:rsid w:val="00A62797"/>
    <w:rsid w:val="00A644E6"/>
    <w:rsid w:val="00A6623D"/>
    <w:rsid w:val="00A74B28"/>
    <w:rsid w:val="00A7798C"/>
    <w:rsid w:val="00A85CF5"/>
    <w:rsid w:val="00A8770A"/>
    <w:rsid w:val="00A90E52"/>
    <w:rsid w:val="00A90E9F"/>
    <w:rsid w:val="00A9197C"/>
    <w:rsid w:val="00A92DE0"/>
    <w:rsid w:val="00A971C7"/>
    <w:rsid w:val="00AA2221"/>
    <w:rsid w:val="00AA6038"/>
    <w:rsid w:val="00AD66BF"/>
    <w:rsid w:val="00AD74AC"/>
    <w:rsid w:val="00AE4D7F"/>
    <w:rsid w:val="00AE6A78"/>
    <w:rsid w:val="00AF063F"/>
    <w:rsid w:val="00AF24A9"/>
    <w:rsid w:val="00AF5811"/>
    <w:rsid w:val="00AF7FCE"/>
    <w:rsid w:val="00B01BEB"/>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4C99"/>
    <w:rsid w:val="00BF71E9"/>
    <w:rsid w:val="00C02725"/>
    <w:rsid w:val="00C030FF"/>
    <w:rsid w:val="00C04AC4"/>
    <w:rsid w:val="00C06C7B"/>
    <w:rsid w:val="00C10AD7"/>
    <w:rsid w:val="00C204B5"/>
    <w:rsid w:val="00C27DC9"/>
    <w:rsid w:val="00C33D11"/>
    <w:rsid w:val="00C404F9"/>
    <w:rsid w:val="00C40BEB"/>
    <w:rsid w:val="00C43B9E"/>
    <w:rsid w:val="00C45274"/>
    <w:rsid w:val="00C5487D"/>
    <w:rsid w:val="00C562DE"/>
    <w:rsid w:val="00C6166A"/>
    <w:rsid w:val="00C67B21"/>
    <w:rsid w:val="00C71DFD"/>
    <w:rsid w:val="00C73F55"/>
    <w:rsid w:val="00C83EA2"/>
    <w:rsid w:val="00C84B50"/>
    <w:rsid w:val="00C87972"/>
    <w:rsid w:val="00C965A7"/>
    <w:rsid w:val="00CA0005"/>
    <w:rsid w:val="00CA1933"/>
    <w:rsid w:val="00CA2AB7"/>
    <w:rsid w:val="00CA5837"/>
    <w:rsid w:val="00CB4729"/>
    <w:rsid w:val="00CC019D"/>
    <w:rsid w:val="00CC3FFC"/>
    <w:rsid w:val="00CD1001"/>
    <w:rsid w:val="00CD3EF6"/>
    <w:rsid w:val="00CD5F8B"/>
    <w:rsid w:val="00CE0B7A"/>
    <w:rsid w:val="00CE15F5"/>
    <w:rsid w:val="00CE1EAE"/>
    <w:rsid w:val="00CE3034"/>
    <w:rsid w:val="00CE39D8"/>
    <w:rsid w:val="00CF2DBE"/>
    <w:rsid w:val="00D030E9"/>
    <w:rsid w:val="00D0391B"/>
    <w:rsid w:val="00D0486D"/>
    <w:rsid w:val="00D05730"/>
    <w:rsid w:val="00D12F13"/>
    <w:rsid w:val="00D2266B"/>
    <w:rsid w:val="00D442D6"/>
    <w:rsid w:val="00D44D16"/>
    <w:rsid w:val="00D538D1"/>
    <w:rsid w:val="00D5478E"/>
    <w:rsid w:val="00D54E85"/>
    <w:rsid w:val="00D62EA1"/>
    <w:rsid w:val="00D64EE3"/>
    <w:rsid w:val="00D66C66"/>
    <w:rsid w:val="00D66E0E"/>
    <w:rsid w:val="00D67214"/>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D1B31"/>
    <w:rsid w:val="00DD3B31"/>
    <w:rsid w:val="00DE1DFB"/>
    <w:rsid w:val="00DE20BA"/>
    <w:rsid w:val="00DE7CA4"/>
    <w:rsid w:val="00DE7FC9"/>
    <w:rsid w:val="00DF222A"/>
    <w:rsid w:val="00E01A21"/>
    <w:rsid w:val="00E02328"/>
    <w:rsid w:val="00E023D1"/>
    <w:rsid w:val="00E111A5"/>
    <w:rsid w:val="00E31945"/>
    <w:rsid w:val="00E31F9D"/>
    <w:rsid w:val="00E3413C"/>
    <w:rsid w:val="00E34EA8"/>
    <w:rsid w:val="00E3649D"/>
    <w:rsid w:val="00E3684A"/>
    <w:rsid w:val="00E377C8"/>
    <w:rsid w:val="00E4050F"/>
    <w:rsid w:val="00E44005"/>
    <w:rsid w:val="00E5065B"/>
    <w:rsid w:val="00E62873"/>
    <w:rsid w:val="00E720AD"/>
    <w:rsid w:val="00E72C84"/>
    <w:rsid w:val="00E76064"/>
    <w:rsid w:val="00E8035B"/>
    <w:rsid w:val="00E96370"/>
    <w:rsid w:val="00E976F1"/>
    <w:rsid w:val="00EA2D1D"/>
    <w:rsid w:val="00EB5B97"/>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62DB"/>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41F7"/>
    <w:rsid w:val="00FC4C21"/>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9FFFD8FD-D505-4E2B-AEBA-BC7BFDE4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641">
      <w:bodyDiv w:val="1"/>
      <w:marLeft w:val="0"/>
      <w:marRight w:val="0"/>
      <w:marTop w:val="0"/>
      <w:marBottom w:val="0"/>
      <w:divBdr>
        <w:top w:val="none" w:sz="0" w:space="0" w:color="auto"/>
        <w:left w:val="none" w:sz="0" w:space="0" w:color="auto"/>
        <w:bottom w:val="none" w:sz="0" w:space="0" w:color="auto"/>
        <w:right w:val="none" w:sz="0" w:space="0" w:color="auto"/>
      </w:divBdr>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jxrWqmHWBw" TargetMode="External"/><Relationship Id="rId13" Type="http://schemas.openxmlformats.org/officeDocument/2006/relationships/hyperlink" Target="http://www.deutsche-und-polen.de/ereignisse/ereignis_jsp/key=ein_versoehnungszeichen_196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b.de/politik/hintergrund-aktuell/68933/40-jahre-warschauer-vertrag-06-12-20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lag20.de/unterrichtsmaterial/14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rnelsen.de/home/katalog/akd/1.c.1924536.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Tlt7a_wuqVw"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1758-4555-42F6-9D00-D976C92E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1061</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7737</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Kneip</cp:lastModifiedBy>
  <cp:revision>8</cp:revision>
  <cp:lastPrinted>2014-06-25T06:06:00Z</cp:lastPrinted>
  <dcterms:created xsi:type="dcterms:W3CDTF">2014-06-24T06:37:00Z</dcterms:created>
  <dcterms:modified xsi:type="dcterms:W3CDTF">2014-06-25T07:21:00Z</dcterms:modified>
  <cp:category>Aktualitätendienst Politik</cp:category>
</cp:coreProperties>
</file>