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4E" w:rsidRPr="002C49C5" w:rsidRDefault="00835A4E" w:rsidP="00E01A21">
      <w:pPr>
        <w:pStyle w:val="0berschrift2"/>
        <w:rPr>
          <w:i/>
          <w:sz w:val="20"/>
          <w:szCs w:val="18"/>
        </w:rPr>
      </w:pPr>
      <w:bookmarkStart w:id="0" w:name="_GoBack"/>
      <w:bookmarkEnd w:id="0"/>
      <w:r w:rsidRPr="002C49C5">
        <w:rPr>
          <w:i/>
          <w:sz w:val="24"/>
        </w:rPr>
        <w:t>Arbeitsblatt 3: Der Warschauer Vertrag in der politischen Diskussion</w:t>
      </w:r>
    </w:p>
    <w:p w:rsidR="00835A4E" w:rsidRPr="00CE3034" w:rsidRDefault="00835A4E" w:rsidP="002C49C5">
      <w:pPr>
        <w:pStyle w:val="1Standardflietext"/>
        <w:spacing w:after="0"/>
        <w:jc w:val="both"/>
        <w:rPr>
          <w:rStyle w:val="1kursiv"/>
          <w:b/>
        </w:rPr>
      </w:pPr>
      <w:r w:rsidRPr="00CE3034">
        <w:rPr>
          <w:rStyle w:val="1kursiv"/>
          <w:b/>
        </w:rPr>
        <w:t>Quelle 1: Aus der Fernsehansprache von Bundeskanzler Will</w:t>
      </w:r>
      <w:r w:rsidR="00E01A21" w:rsidRPr="00CE3034">
        <w:rPr>
          <w:rStyle w:val="1kursiv"/>
          <w:b/>
        </w:rPr>
        <w:t xml:space="preserve">y Brandt zum Warschauer Vertrag </w:t>
      </w:r>
      <w:r w:rsidRPr="00CE3034">
        <w:rPr>
          <w:rStyle w:val="1kursiv"/>
          <w:b/>
        </w:rPr>
        <w:t>am 7.</w:t>
      </w:r>
      <w:r w:rsidR="00CC019D" w:rsidRPr="00CE3034">
        <w:rPr>
          <w:rStyle w:val="1kursiv"/>
          <w:b/>
        </w:rPr>
        <w:t> </w:t>
      </w:r>
      <w:r w:rsidRPr="00CE3034">
        <w:rPr>
          <w:rStyle w:val="1kursiv"/>
          <w:b/>
        </w:rPr>
        <w:t>Dezember 1970</w:t>
      </w:r>
    </w:p>
    <w:p w:rsidR="00E01A21" w:rsidRPr="00851AEA" w:rsidRDefault="00E01A21" w:rsidP="00E01A21">
      <w:pPr>
        <w:pStyle w:val="1Standardflietext"/>
        <w:spacing w:after="0"/>
        <w:jc w:val="both"/>
        <w:rPr>
          <w:rStyle w:val="1kursiv"/>
        </w:rPr>
      </w:pPr>
    </w:p>
    <w:p w:rsidR="00835A4E" w:rsidRPr="00064B8F" w:rsidRDefault="00835A4E" w:rsidP="00E01A21">
      <w:pPr>
        <w:pStyle w:val="1Standardflietext"/>
        <w:jc w:val="both"/>
      </w:pPr>
      <w:r w:rsidRPr="00064B8F">
        <w:t>Ich bin mir bewusst: Dies ist eine schwere Reise. Für eine friedliche Zukunft wird sie von Bedeutung sein. Der Vertrag von Warschau soll einen Schlussstrich setzen unter Leiden und Opfer einer bösen Vergangenheit. Er soll eine Brücke schlagen zwischen den beiden Staaten und den beiden Völkern. Er soll den Weg dafür öffnen, dass getrennte Familien wieder zusammenfinden können.</w:t>
      </w:r>
    </w:p>
    <w:p w:rsidR="00835A4E" w:rsidRPr="00064B8F" w:rsidRDefault="00835A4E" w:rsidP="00E01A21">
      <w:pPr>
        <w:pStyle w:val="1Standardflietext"/>
        <w:jc w:val="both"/>
      </w:pPr>
      <w:r w:rsidRPr="00064B8F">
        <w:t>Und dass Grenzen weniger trennen als bisher. Und trotzdem: Dieser Vertrag konnte nur nach ernster Gewissenserforschung unterschrieben werden. Wir haben uns nicht leichten Herzens hierzu entschieden. Zu sehr sind wir geprägt von Erinnerungen und gezeichnet von zerstörten Hoffnungen. Aber guten Gewissens, denn wir sind überzeugt, dass Spannungen abgebaut, Verträge über Gewaltverzicht befolgt, die Beziehungen verbessert und die geeigneten Formen der Zusammenarbeit gefunden werden müssen, um zu einer europäischen Friedensordnung zu gelangen. […]</w:t>
      </w:r>
    </w:p>
    <w:p w:rsidR="00835A4E" w:rsidRPr="00064B8F" w:rsidRDefault="00835A4E" w:rsidP="00E01A21">
      <w:pPr>
        <w:pStyle w:val="1Standardflietext"/>
        <w:jc w:val="both"/>
      </w:pPr>
      <w:r w:rsidRPr="00064B8F">
        <w:t xml:space="preserve">Was ich im August Ihnen aus Moskau gesagt habe, liebe Mitbürgerinnen und Mitbürger, gilt auch für den Vertrag mit Polen: Er gibt nichts preis, was nicht längst verspielt worden ist. Verspielt nicht von uns, die wir in der Bundesrepublik Deutschland politische Verantwortung tragen und getragen haben. Sondern verspielt von einem verbrecherischen Regime, vom Nationalsozialismus. </w:t>
      </w:r>
    </w:p>
    <w:p w:rsidR="00835A4E" w:rsidRPr="00064B8F" w:rsidRDefault="00835A4E" w:rsidP="00E01A21">
      <w:pPr>
        <w:pStyle w:val="1Standardflietext"/>
        <w:jc w:val="both"/>
      </w:pPr>
      <w:r w:rsidRPr="00064B8F">
        <w:t>Wir dürfen nicht vergessen, dass dem polnischen Volk nach 1939 das Schlimmste zugefügt wurde, was es in seiner Geschichte hat durchmachen müssen. Dieses Unrecht ist nicht ohne Folgen geblieben.</w:t>
      </w:r>
      <w:r>
        <w:t xml:space="preserve"> </w:t>
      </w:r>
      <w:r w:rsidRPr="00064B8F">
        <w:t>Großes Leid traf auch unser Volk, vor allem unsere ostdeutschen Landsleute. Wir müssen gerecht sein: Das schwerste Opfer haben jene gebracht, deren Väter, Söhne oder Brüder ihr Leben verloren haben. Aber nach ihnen hat am bittersten für den Krieg bezahlt, wer seine Heimat verlassen musste. Ich lehne Legenden ab, deutsche wie polnische: Die Geschichte des deutschen Ostens lässt sich nicht willkürlich umschreiben.</w:t>
      </w:r>
    </w:p>
    <w:p w:rsidR="00835A4E" w:rsidRPr="00064B8F" w:rsidRDefault="00835A4E" w:rsidP="00E01A21">
      <w:pPr>
        <w:pStyle w:val="1Standardflietext"/>
        <w:jc w:val="both"/>
      </w:pPr>
      <w:r w:rsidRPr="00064B8F">
        <w:t xml:space="preserve">Unsere polnischen Gesprächspartner wissen, was ich Ihnen zu Hause auch noch einmal in aller Klarheit sagen möchte: Dieser Vertrag bedeutet nicht, dass wir Unrecht anerkennen oder Gewalttaten rechtfertigen. Er bedeutet nicht, dass wir Vertreibungen nachträglich legitimieren. </w:t>
      </w:r>
    </w:p>
    <w:p w:rsidR="00835A4E" w:rsidRPr="00064B8F" w:rsidRDefault="00835A4E" w:rsidP="00E01A21">
      <w:pPr>
        <w:pStyle w:val="1Standardflietext"/>
        <w:jc w:val="both"/>
      </w:pPr>
      <w:r w:rsidRPr="00064B8F">
        <w:t>Ressentiments verletzen den Respekt vor der Trauer um das Verlorene […]. Niemand kann sich dieser Trauer entziehen, uns schmerzt das Verlorene. Und das leidgeprüfte Volk wird unseren Schmerz respektieren.</w:t>
      </w:r>
    </w:p>
    <w:p w:rsidR="00835A4E" w:rsidRPr="00064B8F" w:rsidRDefault="00835A4E" w:rsidP="00E01A21">
      <w:pPr>
        <w:pStyle w:val="1Standardflietext"/>
        <w:jc w:val="both"/>
      </w:pPr>
      <w:r w:rsidRPr="00064B8F">
        <w:t xml:space="preserve">Namen wie Auschwitz werden beide Völker noch lange begleiten und uns daran erinnern, dass die Hölle auf Erden möglich ist; wir haben sie erlebt. Aber gerade diese Erfahrung zwingt uns, die Aufgaben der Zukunft entschlossen anzupacken. Die Flucht vor der Wirklichkeit schafft gefährliche Illusionen. Ich sage: Das Ja zu diesem Vertrag, zur Aussöhnung, zum Frieden, ist ein Bekenntnis zur deutschen Gesamtgeschichte. […] </w:t>
      </w:r>
    </w:p>
    <w:p w:rsidR="00835A4E" w:rsidRPr="00064B8F" w:rsidRDefault="00835A4E" w:rsidP="00E01A21">
      <w:pPr>
        <w:pStyle w:val="1Standardflietext"/>
        <w:jc w:val="both"/>
      </w:pPr>
      <w:r w:rsidRPr="00064B8F">
        <w:t xml:space="preserve">Wir müssen unseren Blick in die Zukunft richten und die Moral als politische Kraft erkennen. Wir müssen die Kette des Unrechts durchbrechen. Indem wir dies tun, betreiben wir keine Politik des Verzichts, sondern eine Politik der Vernunft. Der Vertrag zwischen Polen und uns – ein Vertrag, wie er amtlich heißt, über die </w:t>
      </w:r>
      <w:r w:rsidR="00CC019D">
        <w:t>„</w:t>
      </w:r>
      <w:r w:rsidRPr="00064B8F">
        <w:t>Grundlagen der Normalisierung der gegenseitigen Beziehungen</w:t>
      </w:r>
      <w:r w:rsidR="00CC019D">
        <w:t>“</w:t>
      </w:r>
      <w:r w:rsidRPr="00064B8F">
        <w:t>– ersetzt keinen formellen Friedensvertrag. Er berührt nicht die Rechte und Verantwortlichkeiten der Vier Mächte für Deutschland als Ganzes. Er setzt frühere vertragliche Verpflichtungen weder der einen noch der anderen Seite außer Kraft.</w:t>
      </w:r>
    </w:p>
    <w:p w:rsidR="00835A4E" w:rsidRPr="00CE3034" w:rsidRDefault="00835A4E" w:rsidP="00835A4E">
      <w:pPr>
        <w:pStyle w:val="1Standardflietext"/>
        <w:rPr>
          <w:rStyle w:val="1kursiv"/>
          <w:sz w:val="20"/>
        </w:rPr>
      </w:pPr>
      <w:r w:rsidRPr="00CE3034">
        <w:rPr>
          <w:rStyle w:val="1kursiv"/>
          <w:sz w:val="20"/>
        </w:rPr>
        <w:t>Aus: http://www.willy-brandt.de/fileadmin/brandt/Downloads/Fernsehansprache_Warschau_1970.pdf</w:t>
      </w:r>
    </w:p>
    <w:p w:rsidR="00835A4E" w:rsidRDefault="00835A4E" w:rsidP="00835A4E">
      <w:pPr>
        <w:pStyle w:val="1Standardflietext"/>
        <w:rPr>
          <w:b/>
        </w:rPr>
      </w:pPr>
    </w:p>
    <w:p w:rsidR="00835A4E" w:rsidRPr="00CC019D" w:rsidRDefault="00D77235" w:rsidP="00835A4E">
      <w:pPr>
        <w:pStyle w:val="1Standardflietext"/>
        <w:rPr>
          <w:b/>
          <w:i/>
        </w:rPr>
      </w:pPr>
      <w:r>
        <w:rPr>
          <w:b/>
        </w:rPr>
        <w:br w:type="page"/>
      </w:r>
      <w:r w:rsidR="00835A4E" w:rsidRPr="00CC019D">
        <w:rPr>
          <w:b/>
          <w:i/>
        </w:rPr>
        <w:lastRenderedPageBreak/>
        <w:t>Quelle 2: Stimmen aus Bundestagsreden der Opposition</w:t>
      </w:r>
    </w:p>
    <w:p w:rsidR="00E01A21" w:rsidRDefault="00E01A21" w:rsidP="00CE3034">
      <w:pPr>
        <w:pStyle w:val="1Standardflietext"/>
        <w:jc w:val="both"/>
        <w:rPr>
          <w:i/>
        </w:rPr>
      </w:pPr>
    </w:p>
    <w:p w:rsidR="007F211B" w:rsidRPr="00E01A21" w:rsidRDefault="00835A4E" w:rsidP="00CE3034">
      <w:pPr>
        <w:pStyle w:val="1Standardflietext"/>
        <w:jc w:val="both"/>
        <w:rPr>
          <w:i/>
        </w:rPr>
      </w:pPr>
      <w:r w:rsidRPr="007F211B">
        <w:rPr>
          <w:i/>
        </w:rPr>
        <w:t xml:space="preserve">a) </w:t>
      </w:r>
      <w:r w:rsidR="007F211B" w:rsidRPr="007F211B">
        <w:rPr>
          <w:i/>
        </w:rPr>
        <w:t xml:space="preserve">Rede des CSU-Abgeordneten Karl Theodor von und zu Guttenberg am 27. </w:t>
      </w:r>
      <w:r w:rsidR="007F211B" w:rsidRPr="00E01A21">
        <w:rPr>
          <w:i/>
        </w:rPr>
        <w:t>Mai 1970 im Bundestag zur Ostpolitik von Willy Brandt</w:t>
      </w:r>
    </w:p>
    <w:p w:rsidR="007F211B" w:rsidRPr="007F211B" w:rsidRDefault="007F211B" w:rsidP="00CE3034">
      <w:pPr>
        <w:pStyle w:val="1Standardflietext"/>
        <w:jc w:val="both"/>
      </w:pPr>
      <w:r w:rsidRPr="007F211B">
        <w:t xml:space="preserve">Ich will die Sache, die hier auf dem Spiele steht, um </w:t>
      </w:r>
      <w:proofErr w:type="spellStart"/>
      <w:r w:rsidRPr="007F211B">
        <w:t>deretwillen</w:t>
      </w:r>
      <w:proofErr w:type="spellEnd"/>
      <w:r w:rsidRPr="007F211B">
        <w:t xml:space="preserve"> wir schwerste, sage ich, Sorge haben, gleich bei ihrem Namen nennen. Diese Sache ist nicht mehr und nicht weniger als das Recht der Deutschen – aller Deutschen –, frei zu sein und selbst über sich zu bestimmen.</w:t>
      </w:r>
    </w:p>
    <w:p w:rsidR="007F211B" w:rsidRDefault="007F211B" w:rsidP="00CE3034">
      <w:pPr>
        <w:pStyle w:val="1Standardflietext"/>
        <w:jc w:val="both"/>
      </w:pPr>
      <w:r w:rsidRPr="007F211B">
        <w:t>Meine Freunde und ich sind nicht willens, dieses unveräußerliche Freiheitsrecht zu einer – und diejenigen, die es angeht, mögen dies in ihren Ohren klingen lassen – salvatorischen Klausel, zu einer abstrakten Maxime werden zu lassen. Ich sage hier für meine Freunde und für mich mit allem Nachdruck, mit allem Ernst und leider auch mit der heute nötigen Sorge: Wir, die CDU/CSU, sind nicht bereit, sogenannte Realitäten zu achten, zu respektieren oder gar anzuerkennen, die den Namen „Unrecht“ tragen.</w:t>
      </w:r>
    </w:p>
    <w:p w:rsidR="00681B71" w:rsidRPr="00CE3034" w:rsidRDefault="00681B71" w:rsidP="00CE3034">
      <w:pPr>
        <w:pStyle w:val="1Standardflietext"/>
        <w:jc w:val="both"/>
        <w:rPr>
          <w:i/>
          <w:sz w:val="18"/>
        </w:rPr>
      </w:pPr>
      <w:r w:rsidRPr="00CE3034">
        <w:rPr>
          <w:i/>
          <w:sz w:val="18"/>
        </w:rPr>
        <w:t>Hier zitiert nach: http://www.zeit.de/1992/30/bonner-toene/seite-1</w:t>
      </w:r>
    </w:p>
    <w:p w:rsidR="007F211B" w:rsidRPr="007F211B" w:rsidRDefault="007F211B" w:rsidP="00CE3034">
      <w:pPr>
        <w:pStyle w:val="1Standardflietext"/>
        <w:jc w:val="both"/>
      </w:pPr>
    </w:p>
    <w:p w:rsidR="00835A4E" w:rsidRPr="00AA7557" w:rsidRDefault="007F211B" w:rsidP="00CE3034">
      <w:pPr>
        <w:pStyle w:val="1Standardflietext"/>
        <w:jc w:val="both"/>
        <w:rPr>
          <w:i/>
        </w:rPr>
      </w:pPr>
      <w:r>
        <w:rPr>
          <w:i/>
        </w:rPr>
        <w:t>b)</w:t>
      </w:r>
      <w:r w:rsidRPr="007F211B">
        <w:rPr>
          <w:i/>
        </w:rPr>
        <w:t xml:space="preserve"> </w:t>
      </w:r>
      <w:r w:rsidR="00835A4E" w:rsidRPr="007F211B">
        <w:rPr>
          <w:i/>
        </w:rPr>
        <w:t xml:space="preserve">Rainer Barzel (CDU) am 25. </w:t>
      </w:r>
      <w:r w:rsidR="00CC019D">
        <w:rPr>
          <w:i/>
        </w:rPr>
        <w:t>Februar</w:t>
      </w:r>
      <w:r w:rsidR="00835A4E" w:rsidRPr="00AA7557">
        <w:rPr>
          <w:i/>
        </w:rPr>
        <w:t xml:space="preserve"> 1972</w:t>
      </w:r>
    </w:p>
    <w:p w:rsidR="00835A4E" w:rsidRPr="00064B8F" w:rsidRDefault="00835A4E" w:rsidP="00CE3034">
      <w:pPr>
        <w:pStyle w:val="1Standardflietext"/>
        <w:jc w:val="both"/>
      </w:pPr>
      <w:r w:rsidRPr="00064B8F">
        <w:t>Hält man nun unseren Vorstellungen und unseren Prinzipien das gegenüber, was hier in Vertragsform vorliegt, so ist unser Urteil wohl begründet. Das Vertragswerk gibt den Sowjetrussen, den Polen und der DDR das meiste oder beinahe fast alles von dem, was sie wollen. Es bringt den Europäern und den Deutschen keinen Fortschritt – falls man, wie wir es tun, Fortschritt als reale Verbesserung für die Menschen, für ihre Rechte und deren soziale Basis im Alltag betrachtet.</w:t>
      </w:r>
    </w:p>
    <w:p w:rsidR="007F211B" w:rsidRDefault="002C49C5" w:rsidP="00CE3034">
      <w:pPr>
        <w:pStyle w:val="1Standardflietext"/>
        <w:jc w:val="both"/>
        <w:rPr>
          <w:i/>
        </w:rPr>
      </w:pPr>
      <w:r>
        <w:rPr>
          <w:i/>
          <w:sz w:val="18"/>
          <w:szCs w:val="18"/>
        </w:rPr>
        <w:t xml:space="preserve">Aus: </w:t>
      </w:r>
      <w:r w:rsidR="00CE3034" w:rsidRPr="00CE3034">
        <w:rPr>
          <w:i/>
          <w:sz w:val="18"/>
          <w:szCs w:val="18"/>
        </w:rPr>
        <w:t>Dokumentation zur Deutschlandfrage. Hrsg. von H. v. Siegler. Bonn: 1970, Bd. VII, S. 466</w:t>
      </w:r>
      <w:r w:rsidR="00CA0005">
        <w:rPr>
          <w:i/>
          <w:sz w:val="18"/>
          <w:szCs w:val="18"/>
        </w:rPr>
        <w:t>.</w:t>
      </w:r>
    </w:p>
    <w:p w:rsidR="00CE3034" w:rsidRDefault="00CE3034" w:rsidP="00CE3034">
      <w:pPr>
        <w:pStyle w:val="1Standardflietext"/>
        <w:jc w:val="both"/>
        <w:rPr>
          <w:i/>
        </w:rPr>
      </w:pPr>
    </w:p>
    <w:p w:rsidR="00835A4E" w:rsidRPr="00AA7557" w:rsidRDefault="007F211B" w:rsidP="00CE3034">
      <w:pPr>
        <w:pStyle w:val="1Standardflietext"/>
        <w:jc w:val="both"/>
        <w:rPr>
          <w:i/>
        </w:rPr>
      </w:pPr>
      <w:r>
        <w:rPr>
          <w:i/>
        </w:rPr>
        <w:t>c</w:t>
      </w:r>
      <w:r w:rsidR="00835A4E" w:rsidRPr="00AA7557">
        <w:rPr>
          <w:i/>
        </w:rPr>
        <w:t xml:space="preserve">) Franz Josef Strauß (CSU) am 24. </w:t>
      </w:r>
      <w:r w:rsidR="00CC019D">
        <w:rPr>
          <w:i/>
        </w:rPr>
        <w:t>Januar</w:t>
      </w:r>
      <w:r w:rsidR="00835A4E" w:rsidRPr="00AA7557">
        <w:rPr>
          <w:i/>
        </w:rPr>
        <w:t xml:space="preserve"> 1973</w:t>
      </w:r>
    </w:p>
    <w:p w:rsidR="00835A4E" w:rsidRPr="00064B8F" w:rsidRDefault="00835A4E" w:rsidP="00CE3034">
      <w:pPr>
        <w:pStyle w:val="1Standardflietext"/>
        <w:jc w:val="both"/>
      </w:pPr>
      <w:r w:rsidRPr="00064B8F">
        <w:t>Es ist auch unser ehrlicher Wunsch und unser ernstes Bestreben, Spannungen abzubauen und zu einem geregelten Nebeneinander zu kommen, aber wir können uns nichts unter dem von Ihnen, Herr Bundeskanzler, empfohlenen Miteinander mit einem kommunistischen Zwangsstaat vorstellen. Wir schätzen menschliche Erleichterungen und menschliche Begegnungen, auch wenn sie ein kanalisiertes und kontrolliertes Rinnsal darstellen, sehr hoch ein, sind aber nicht bereit, den Preis zu unterschätzen, den wir dafür bezahlen, den Ernst der Lage zu verkennen.</w:t>
      </w:r>
    </w:p>
    <w:p w:rsidR="00835A4E" w:rsidRPr="00CE3034" w:rsidRDefault="002C49C5" w:rsidP="00CE3034">
      <w:pPr>
        <w:pStyle w:val="1Standardflietext"/>
        <w:jc w:val="both"/>
        <w:rPr>
          <w:i/>
          <w:sz w:val="18"/>
          <w:szCs w:val="18"/>
        </w:rPr>
      </w:pPr>
      <w:r>
        <w:rPr>
          <w:i/>
          <w:sz w:val="18"/>
          <w:szCs w:val="18"/>
        </w:rPr>
        <w:t xml:space="preserve">Aus: </w:t>
      </w:r>
      <w:r w:rsidR="00835A4E" w:rsidRPr="00CE3034">
        <w:rPr>
          <w:i/>
          <w:sz w:val="18"/>
          <w:szCs w:val="18"/>
        </w:rPr>
        <w:t>Dokumentation zur Deutschlandfrage. Hrsg. v</w:t>
      </w:r>
      <w:r w:rsidR="007F211B" w:rsidRPr="00CE3034">
        <w:rPr>
          <w:i/>
          <w:sz w:val="18"/>
          <w:szCs w:val="18"/>
        </w:rPr>
        <w:t xml:space="preserve">on H. v. Siegler. Bonn: </w:t>
      </w:r>
      <w:r w:rsidR="00835A4E" w:rsidRPr="00CE3034">
        <w:rPr>
          <w:i/>
          <w:sz w:val="18"/>
          <w:szCs w:val="18"/>
        </w:rPr>
        <w:t>1970, Bd. VIII, S. 167</w:t>
      </w:r>
      <w:r w:rsidR="00CC019D" w:rsidRPr="00CE3034">
        <w:rPr>
          <w:i/>
          <w:sz w:val="18"/>
          <w:szCs w:val="18"/>
        </w:rPr>
        <w:t>.</w:t>
      </w:r>
    </w:p>
    <w:p w:rsidR="00835A4E" w:rsidRPr="00064B8F" w:rsidRDefault="00835A4E" w:rsidP="00CE3034">
      <w:pPr>
        <w:pStyle w:val="1Standardflietext"/>
        <w:jc w:val="both"/>
      </w:pPr>
    </w:p>
    <w:p w:rsidR="007F211B" w:rsidRDefault="00835A4E" w:rsidP="002C49C5">
      <w:pPr>
        <w:pStyle w:val="1Standardflietext"/>
        <w:spacing w:after="120"/>
        <w:jc w:val="both"/>
        <w:rPr>
          <w:rStyle w:val="1kursiv"/>
        </w:rPr>
      </w:pPr>
      <w:r w:rsidRPr="00AA7557">
        <w:rPr>
          <w:rStyle w:val="1kursiv"/>
        </w:rPr>
        <w:t xml:space="preserve">1. Welche Argumente führt Willy Brandt in seiner Fernsehansprache (Quelle 1) an, um der deutschen Bevölkerung den Abschluss des Warschauer Vertrags plausibel </w:t>
      </w:r>
      <w:r w:rsidR="004F1735">
        <w:rPr>
          <w:rStyle w:val="1kursiv"/>
        </w:rPr>
        <w:t>zu machen? Welche rhetorischen Stilm</w:t>
      </w:r>
      <w:r w:rsidRPr="00AA7557">
        <w:rPr>
          <w:rStyle w:val="1kursiv"/>
        </w:rPr>
        <w:t>ittel verwendet er, um seiner Überzeugung Ausdruck zu verleihen?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62"/>
      </w:tblGrid>
      <w:tr w:rsidR="00835A4E" w:rsidRPr="00AA7557" w:rsidTr="000A21DE">
        <w:tc>
          <w:tcPr>
            <w:tcW w:w="4662" w:type="dxa"/>
            <w:shd w:val="clear" w:color="auto" w:fill="auto"/>
          </w:tcPr>
          <w:p w:rsidR="00835A4E" w:rsidRPr="00CE3034" w:rsidRDefault="00835A4E" w:rsidP="00CE3034">
            <w:pPr>
              <w:pStyle w:val="1Standardflietext"/>
              <w:jc w:val="both"/>
              <w:rPr>
                <w:rStyle w:val="1kursiv"/>
                <w:b/>
              </w:rPr>
            </w:pPr>
            <w:r w:rsidRPr="00CE3034">
              <w:rPr>
                <w:rStyle w:val="1kursiv"/>
                <w:b/>
              </w:rPr>
              <w:t>Inhaltliche Argumente</w:t>
            </w:r>
          </w:p>
        </w:tc>
        <w:tc>
          <w:tcPr>
            <w:tcW w:w="4662" w:type="dxa"/>
            <w:shd w:val="clear" w:color="auto" w:fill="auto"/>
          </w:tcPr>
          <w:p w:rsidR="00835A4E" w:rsidRPr="00CE3034" w:rsidRDefault="00835A4E" w:rsidP="00CE3034">
            <w:pPr>
              <w:pStyle w:val="1Standardflietext"/>
              <w:jc w:val="both"/>
              <w:rPr>
                <w:rStyle w:val="1kursiv"/>
                <w:b/>
              </w:rPr>
            </w:pPr>
            <w:r w:rsidRPr="00CE3034">
              <w:rPr>
                <w:rStyle w:val="1kursiv"/>
                <w:b/>
              </w:rPr>
              <w:t>Rhetorische Mittel</w:t>
            </w:r>
          </w:p>
        </w:tc>
      </w:tr>
      <w:tr w:rsidR="00835A4E" w:rsidRPr="00AA7557" w:rsidTr="000A21DE">
        <w:tc>
          <w:tcPr>
            <w:tcW w:w="4662" w:type="dxa"/>
            <w:shd w:val="clear" w:color="auto" w:fill="auto"/>
          </w:tcPr>
          <w:p w:rsidR="00D77235" w:rsidRPr="00AA7557" w:rsidRDefault="00D77235" w:rsidP="00CE3034">
            <w:pPr>
              <w:pStyle w:val="1Standardflietext"/>
              <w:jc w:val="both"/>
              <w:rPr>
                <w:rStyle w:val="1kursiv"/>
              </w:rPr>
            </w:pPr>
          </w:p>
          <w:p w:rsidR="00835A4E" w:rsidRPr="00AA7557" w:rsidRDefault="00835A4E" w:rsidP="00CE3034">
            <w:pPr>
              <w:pStyle w:val="1Standardflietext"/>
              <w:jc w:val="both"/>
              <w:rPr>
                <w:rStyle w:val="1kursiv"/>
              </w:rPr>
            </w:pPr>
          </w:p>
        </w:tc>
        <w:tc>
          <w:tcPr>
            <w:tcW w:w="4662" w:type="dxa"/>
            <w:shd w:val="clear" w:color="auto" w:fill="auto"/>
          </w:tcPr>
          <w:p w:rsidR="00835A4E" w:rsidRPr="00AA7557" w:rsidRDefault="00835A4E" w:rsidP="00CE3034">
            <w:pPr>
              <w:pStyle w:val="1Standardflietext"/>
              <w:jc w:val="both"/>
              <w:rPr>
                <w:rStyle w:val="1kursiv"/>
              </w:rPr>
            </w:pPr>
          </w:p>
        </w:tc>
      </w:tr>
      <w:tr w:rsidR="00835A4E" w:rsidRPr="00AA7557" w:rsidTr="000A21DE">
        <w:tc>
          <w:tcPr>
            <w:tcW w:w="4662" w:type="dxa"/>
            <w:shd w:val="clear" w:color="auto" w:fill="auto"/>
          </w:tcPr>
          <w:p w:rsidR="00835A4E" w:rsidRDefault="00835A4E" w:rsidP="00CE3034">
            <w:pPr>
              <w:pStyle w:val="1Standardflietext"/>
              <w:jc w:val="both"/>
              <w:rPr>
                <w:rStyle w:val="1kursiv"/>
              </w:rPr>
            </w:pPr>
          </w:p>
          <w:p w:rsidR="00D77235" w:rsidRPr="00AA7557" w:rsidRDefault="00D77235" w:rsidP="00CE3034">
            <w:pPr>
              <w:pStyle w:val="1Standardflietext"/>
              <w:jc w:val="both"/>
              <w:rPr>
                <w:rStyle w:val="1kursiv"/>
              </w:rPr>
            </w:pPr>
          </w:p>
        </w:tc>
        <w:tc>
          <w:tcPr>
            <w:tcW w:w="4662" w:type="dxa"/>
            <w:shd w:val="clear" w:color="auto" w:fill="auto"/>
          </w:tcPr>
          <w:p w:rsidR="00835A4E" w:rsidRPr="00AA7557" w:rsidRDefault="00835A4E" w:rsidP="00CE3034">
            <w:pPr>
              <w:pStyle w:val="1Standardflietext"/>
              <w:jc w:val="both"/>
              <w:rPr>
                <w:rStyle w:val="1kursiv"/>
              </w:rPr>
            </w:pPr>
          </w:p>
        </w:tc>
      </w:tr>
      <w:tr w:rsidR="00835A4E" w:rsidRPr="00AA7557" w:rsidTr="000A21DE">
        <w:tc>
          <w:tcPr>
            <w:tcW w:w="4662" w:type="dxa"/>
            <w:shd w:val="clear" w:color="auto" w:fill="auto"/>
          </w:tcPr>
          <w:p w:rsidR="00835A4E" w:rsidRDefault="00835A4E" w:rsidP="00CE3034">
            <w:pPr>
              <w:pStyle w:val="1Standardflietext"/>
              <w:jc w:val="both"/>
              <w:rPr>
                <w:rStyle w:val="1kursiv"/>
              </w:rPr>
            </w:pPr>
          </w:p>
          <w:p w:rsidR="00D77235" w:rsidRPr="00AA7557" w:rsidRDefault="00D77235" w:rsidP="00CE3034">
            <w:pPr>
              <w:pStyle w:val="1Standardflietext"/>
              <w:jc w:val="both"/>
              <w:rPr>
                <w:rStyle w:val="1kursiv"/>
              </w:rPr>
            </w:pPr>
          </w:p>
        </w:tc>
        <w:tc>
          <w:tcPr>
            <w:tcW w:w="4662" w:type="dxa"/>
            <w:shd w:val="clear" w:color="auto" w:fill="auto"/>
          </w:tcPr>
          <w:p w:rsidR="00835A4E" w:rsidRPr="00AA7557" w:rsidRDefault="00835A4E" w:rsidP="00CE3034">
            <w:pPr>
              <w:pStyle w:val="1Standardflietext"/>
              <w:jc w:val="both"/>
              <w:rPr>
                <w:rStyle w:val="1kursiv"/>
              </w:rPr>
            </w:pPr>
          </w:p>
        </w:tc>
      </w:tr>
      <w:tr w:rsidR="00835A4E" w:rsidRPr="00AA7557" w:rsidTr="000A21DE">
        <w:tc>
          <w:tcPr>
            <w:tcW w:w="4662" w:type="dxa"/>
            <w:shd w:val="clear" w:color="auto" w:fill="auto"/>
          </w:tcPr>
          <w:p w:rsidR="00D77235" w:rsidRPr="00AA7557" w:rsidRDefault="00D77235" w:rsidP="00CE3034">
            <w:pPr>
              <w:pStyle w:val="1Standardflietext"/>
              <w:jc w:val="both"/>
              <w:rPr>
                <w:rStyle w:val="1kursiv"/>
              </w:rPr>
            </w:pPr>
          </w:p>
          <w:p w:rsidR="00835A4E" w:rsidRPr="00AA7557" w:rsidRDefault="00835A4E" w:rsidP="00CE3034">
            <w:pPr>
              <w:pStyle w:val="1Standardflietext"/>
              <w:jc w:val="both"/>
              <w:rPr>
                <w:rStyle w:val="1kursiv"/>
              </w:rPr>
            </w:pPr>
          </w:p>
        </w:tc>
        <w:tc>
          <w:tcPr>
            <w:tcW w:w="4662" w:type="dxa"/>
            <w:shd w:val="clear" w:color="auto" w:fill="auto"/>
          </w:tcPr>
          <w:p w:rsidR="00835A4E" w:rsidRPr="00AA7557" w:rsidRDefault="00835A4E" w:rsidP="00CE3034">
            <w:pPr>
              <w:pStyle w:val="1Standardflietext"/>
              <w:jc w:val="both"/>
              <w:rPr>
                <w:rStyle w:val="1kursiv"/>
              </w:rPr>
            </w:pPr>
          </w:p>
        </w:tc>
      </w:tr>
    </w:tbl>
    <w:p w:rsidR="004B56B9" w:rsidRPr="007F211B" w:rsidRDefault="00835A4E" w:rsidP="002C49C5">
      <w:pPr>
        <w:pStyle w:val="1Standardflietext"/>
        <w:spacing w:before="120" w:after="0"/>
        <w:jc w:val="both"/>
        <w:rPr>
          <w:rStyle w:val="1kursiv"/>
        </w:rPr>
      </w:pPr>
      <w:r w:rsidRPr="00AA7557">
        <w:rPr>
          <w:rStyle w:val="1kursiv"/>
        </w:rPr>
        <w:t xml:space="preserve">2. </w:t>
      </w:r>
      <w:r w:rsidR="00D77235" w:rsidRPr="00D77235">
        <w:rPr>
          <w:rStyle w:val="1kursiv"/>
        </w:rPr>
        <w:t>Lesen Sie die Beiträge der Opposition zu den Ostverträgen und diskutieren Sie deren Berechtigung in Form einer Podiumsdiskussion mit Befürwortern und Gegner der Verträge.</w:t>
      </w:r>
      <w:r w:rsidR="00D77235">
        <w:rPr>
          <w:rStyle w:val="1kursiv"/>
        </w:rPr>
        <w:t xml:space="preserve"> Beziehen Sie in die Diskussion die Rede von Brandt mit ein und recherchieren Sie weitere Argumente (pro und contra) im Internet.</w:t>
      </w:r>
      <w:r w:rsidR="004F1735">
        <w:rPr>
          <w:rStyle w:val="1kursiv"/>
        </w:rPr>
        <w:t xml:space="preserve"> </w:t>
      </w:r>
    </w:p>
    <w:sectPr w:rsidR="004B56B9" w:rsidRPr="007F211B"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94" w:rsidRDefault="00BF7894">
      <w:r>
        <w:separator/>
      </w:r>
    </w:p>
    <w:p w:rsidR="00BF7894" w:rsidRDefault="00BF7894"/>
    <w:p w:rsidR="00BF7894" w:rsidRDefault="00BF7894"/>
    <w:p w:rsidR="00BF7894" w:rsidRDefault="00BF7894"/>
    <w:p w:rsidR="00BF7894" w:rsidRDefault="00BF7894"/>
    <w:p w:rsidR="00BF7894" w:rsidRDefault="00BF7894"/>
    <w:p w:rsidR="00BF7894" w:rsidRDefault="00BF7894"/>
    <w:p w:rsidR="00BF7894" w:rsidRDefault="00BF7894"/>
  </w:endnote>
  <w:endnote w:type="continuationSeparator" w:id="0">
    <w:p w:rsidR="00BF7894" w:rsidRDefault="00BF7894">
      <w:r>
        <w:continuationSeparator/>
      </w:r>
    </w:p>
    <w:p w:rsidR="00BF7894" w:rsidRDefault="00BF7894"/>
    <w:p w:rsidR="00BF7894" w:rsidRDefault="00BF7894"/>
    <w:p w:rsidR="00BF7894" w:rsidRDefault="00BF7894"/>
    <w:p w:rsidR="00BF7894" w:rsidRDefault="00BF7894"/>
    <w:p w:rsidR="00BF7894" w:rsidRDefault="00BF7894"/>
    <w:p w:rsidR="00BF7894" w:rsidRDefault="00BF7894"/>
    <w:p w:rsidR="00BF7894" w:rsidRDefault="00BF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9491D"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4A0" w:firstRow="1" w:lastRow="0" w:firstColumn="1" w:lastColumn="0" w:noHBand="0" w:noVBand="1"/>
          </w:tblPr>
          <w:tblGrid>
            <w:gridCol w:w="1919"/>
            <w:gridCol w:w="4519"/>
            <w:gridCol w:w="2861"/>
          </w:tblGrid>
          <w:tr w:rsidR="00D71319" w:rsidTr="00D71319">
            <w:trPr>
              <w:trHeight w:val="132"/>
            </w:trPr>
            <w:tc>
              <w:tcPr>
                <w:tcW w:w="1919" w:type="dxa"/>
                <w:tcBorders>
                  <w:top w:val="single" w:sz="4" w:space="0" w:color="auto"/>
                  <w:left w:val="nil"/>
                  <w:bottom w:val="nil"/>
                  <w:right w:val="nil"/>
                </w:tcBorders>
              </w:tcPr>
              <w:p w:rsidR="00D71319" w:rsidRDefault="00D71319">
                <w:pPr>
                  <w:spacing w:after="0"/>
                  <w:rPr>
                    <w:rFonts w:ascii="Times New Roman" w:hAnsi="Times New Roman"/>
                    <w:noProof/>
                    <w:sz w:val="16"/>
                    <w:szCs w:val="16"/>
                  </w:rPr>
                </w:pPr>
              </w:p>
              <w:p w:rsidR="00D71319" w:rsidRDefault="00D71319">
                <w:pPr>
                  <w:spacing w:after="0" w:line="264" w:lineRule="auto"/>
                  <w:rPr>
                    <w:rFonts w:ascii="Times New Roman" w:hAnsi="Times New Roman"/>
                    <w:sz w:val="16"/>
                    <w:szCs w:val="16"/>
                  </w:rPr>
                </w:pPr>
                <w:r>
                  <w:rPr>
                    <w:rFonts w:ascii="Times New Roman" w:hAnsi="Times New Roman"/>
                    <w:noProof/>
                    <w:sz w:val="16"/>
                    <w:szCs w:val="16"/>
                  </w:rPr>
                  <w:drawing>
                    <wp:inline distT="0" distB="0" distL="0" distR="0" wp14:anchorId="3CE8DA9B" wp14:editId="4C1732D1">
                      <wp:extent cx="942975" cy="32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rsidR="00D71319" w:rsidRDefault="00D71319">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hideMark/>
              </w:tcPr>
              <w:p w:rsidR="00D71319" w:rsidRDefault="00D71319">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17F2F">
                  <w:rPr>
                    <w:rFonts w:ascii="Times New Roman" w:hAnsi="Times New Roman"/>
                    <w:noProof/>
                  </w:rPr>
                  <w:t>2</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17F2F">
                  <w:rPr>
                    <w:rFonts w:ascii="Times New Roman" w:hAnsi="Times New Roman"/>
                    <w:noProof/>
                  </w:rPr>
                  <w:t>2</w:t>
                </w:r>
                <w:r>
                  <w:rPr>
                    <w:rFonts w:ascii="Times New Roman" w:hAnsi="Times New Roman"/>
                  </w:rPr>
                  <w:fldChar w:fldCharType="end"/>
                </w:r>
                <w:r>
                  <w:rPr>
                    <w:rFonts w:ascii="Times New Roman" w:hAnsi="Times New Roman"/>
                  </w:rPr>
                  <w:br/>
                </w: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94" w:rsidRDefault="00BF7894">
      <w:r>
        <w:separator/>
      </w:r>
    </w:p>
    <w:p w:rsidR="00BF7894" w:rsidRDefault="00BF7894"/>
    <w:p w:rsidR="00BF7894" w:rsidRDefault="00BF7894"/>
    <w:p w:rsidR="00BF7894" w:rsidRDefault="00BF7894"/>
    <w:p w:rsidR="00BF7894" w:rsidRDefault="00BF7894"/>
    <w:p w:rsidR="00BF7894" w:rsidRDefault="00BF7894"/>
    <w:p w:rsidR="00BF7894" w:rsidRDefault="00BF7894"/>
    <w:p w:rsidR="00BF7894" w:rsidRDefault="00BF7894"/>
  </w:footnote>
  <w:footnote w:type="continuationSeparator" w:id="0">
    <w:p w:rsidR="00BF7894" w:rsidRDefault="00BF7894">
      <w:r>
        <w:continuationSeparator/>
      </w:r>
    </w:p>
    <w:p w:rsidR="00BF7894" w:rsidRDefault="00BF7894"/>
    <w:p w:rsidR="00BF7894" w:rsidRDefault="00BF7894"/>
    <w:p w:rsidR="00BF7894" w:rsidRDefault="00BF7894"/>
    <w:p w:rsidR="00BF7894" w:rsidRDefault="00BF7894"/>
    <w:p w:rsidR="00BF7894" w:rsidRDefault="00BF7894"/>
    <w:p w:rsidR="00BF7894" w:rsidRDefault="00BF7894"/>
    <w:p w:rsidR="00BF7894" w:rsidRDefault="00BF7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RPr="00FC4C21" w:rsidTr="0003613B">
      <w:trPr>
        <w:trHeight w:val="272"/>
      </w:trPr>
      <w:tc>
        <w:tcPr>
          <w:tcW w:w="6946" w:type="dxa"/>
        </w:tcPr>
        <w:p w:rsidR="009F6231" w:rsidRPr="00FC4C21" w:rsidRDefault="00835A4E" w:rsidP="00650060">
          <w:pPr>
            <w:pStyle w:val="0berschrift4"/>
            <w:rPr>
              <w:sz w:val="20"/>
            </w:rPr>
          </w:pPr>
          <w:r w:rsidRPr="00FC4C21">
            <w:rPr>
              <w:sz w:val="20"/>
            </w:rPr>
            <w:t>Willy Brandts Kniefall und der Warschauer Vertrag 1970</w:t>
          </w:r>
          <w:r w:rsidR="00460316" w:rsidRPr="00FC4C21">
            <w:rPr>
              <w:sz w:val="20"/>
            </w:rPr>
            <w:t xml:space="preserve"> </w:t>
          </w:r>
          <w:r w:rsidR="00AA2221" w:rsidRPr="00FC4C21">
            <w:rPr>
              <w:noProof/>
              <w:sz w:val="20"/>
            </w:rPr>
            <mc:AlternateContent>
              <mc:Choice Requires="wps">
                <w:drawing>
                  <wp:anchor distT="0" distB="0" distL="114300" distR="114300" simplePos="0" relativeHeight="251657728" behindDoc="0" locked="0" layoutInCell="1" allowOverlap="1" wp14:anchorId="44CD382F" wp14:editId="0FF147C8">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FC4C21" w:rsidRDefault="00835A4E" w:rsidP="00FC4C21">
          <w:pPr>
            <w:pStyle w:val="0berschrift4"/>
            <w:jc w:val="center"/>
            <w:rPr>
              <w:sz w:val="20"/>
            </w:rPr>
          </w:pPr>
          <w:r w:rsidRPr="00FC4C21">
            <w:rPr>
              <w:b/>
              <w:sz w:val="20"/>
            </w:rPr>
            <w:t>Geschichte</w:t>
          </w:r>
          <w:r w:rsidR="009F6231" w:rsidRPr="00FC4C21">
            <w:rPr>
              <w:rStyle w:val="RahmenSymbol"/>
              <w:sz w:val="20"/>
            </w:rPr>
            <w:t></w:t>
          </w:r>
        </w:p>
      </w:tc>
    </w:tr>
    <w:tr w:rsidR="00EE4AFB" w:rsidRPr="00FC4C21" w:rsidTr="0003613B">
      <w:trPr>
        <w:trHeight w:val="272"/>
      </w:trPr>
      <w:tc>
        <w:tcPr>
          <w:tcW w:w="8714" w:type="dxa"/>
          <w:gridSpan w:val="2"/>
        </w:tcPr>
        <w:p w:rsidR="00620DEC" w:rsidRPr="00FC4C21" w:rsidRDefault="002B4F3B" w:rsidP="0003613B">
          <w:pPr>
            <w:pStyle w:val="1Standardflietext"/>
            <w:tabs>
              <w:tab w:val="left" w:pos="2100"/>
            </w:tabs>
            <w:spacing w:after="0"/>
            <w:rPr>
              <w:i/>
              <w:sz w:val="20"/>
            </w:rPr>
          </w:pPr>
          <w:r w:rsidRPr="00FC4C21">
            <w:rPr>
              <w:i/>
              <w:sz w:val="20"/>
            </w:rPr>
            <w:tab/>
          </w:r>
        </w:p>
      </w:tc>
      <w:tc>
        <w:tcPr>
          <w:tcW w:w="999" w:type="dxa"/>
        </w:tcPr>
        <w:p w:rsidR="00EE4AFB" w:rsidRPr="00FC4C21" w:rsidRDefault="00EE4AFB" w:rsidP="0003613B">
          <w:pPr>
            <w:pStyle w:val="RahmenKopfzeilerechts"/>
            <w:rPr>
              <w:rStyle w:val="RahmenKopfzeilerechtsZchnZchn"/>
              <w:i/>
              <w:sz w:val="20"/>
              <w:szCs w:val="20"/>
            </w:rPr>
          </w:pPr>
        </w:p>
      </w:tc>
    </w:tr>
  </w:tbl>
  <w:p w:rsidR="00C030FF" w:rsidRPr="00FC4C21" w:rsidRDefault="00C030FF"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12FD5"/>
    <w:rsid w:val="00023CF4"/>
    <w:rsid w:val="00026C0A"/>
    <w:rsid w:val="00026FB6"/>
    <w:rsid w:val="000270EA"/>
    <w:rsid w:val="00035908"/>
    <w:rsid w:val="0003613B"/>
    <w:rsid w:val="000370C4"/>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7625"/>
    <w:rsid w:val="00114C43"/>
    <w:rsid w:val="00121293"/>
    <w:rsid w:val="00127484"/>
    <w:rsid w:val="00137907"/>
    <w:rsid w:val="0014005F"/>
    <w:rsid w:val="0014147C"/>
    <w:rsid w:val="0014256E"/>
    <w:rsid w:val="00144E39"/>
    <w:rsid w:val="00146FFD"/>
    <w:rsid w:val="001506D1"/>
    <w:rsid w:val="00161CAE"/>
    <w:rsid w:val="001624A8"/>
    <w:rsid w:val="0016339B"/>
    <w:rsid w:val="0016430F"/>
    <w:rsid w:val="001674F1"/>
    <w:rsid w:val="00195BC8"/>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31684"/>
    <w:rsid w:val="00231F30"/>
    <w:rsid w:val="00232F84"/>
    <w:rsid w:val="002369BD"/>
    <w:rsid w:val="0024442C"/>
    <w:rsid w:val="00251BD7"/>
    <w:rsid w:val="00253B0C"/>
    <w:rsid w:val="00255097"/>
    <w:rsid w:val="002574F4"/>
    <w:rsid w:val="00257EB8"/>
    <w:rsid w:val="00261D70"/>
    <w:rsid w:val="00276128"/>
    <w:rsid w:val="00280069"/>
    <w:rsid w:val="00282D72"/>
    <w:rsid w:val="002833C2"/>
    <w:rsid w:val="002A3A65"/>
    <w:rsid w:val="002A4899"/>
    <w:rsid w:val="002B0CBD"/>
    <w:rsid w:val="002B4F3B"/>
    <w:rsid w:val="002C3511"/>
    <w:rsid w:val="002C39D9"/>
    <w:rsid w:val="002C49C5"/>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0E18"/>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363A"/>
    <w:rsid w:val="003D5D96"/>
    <w:rsid w:val="003D705F"/>
    <w:rsid w:val="003E1202"/>
    <w:rsid w:val="003E26FF"/>
    <w:rsid w:val="003E2862"/>
    <w:rsid w:val="003E29FB"/>
    <w:rsid w:val="003E2E7F"/>
    <w:rsid w:val="003E4DD2"/>
    <w:rsid w:val="003E5059"/>
    <w:rsid w:val="003F19DC"/>
    <w:rsid w:val="003F21D9"/>
    <w:rsid w:val="003F2BAA"/>
    <w:rsid w:val="003F367E"/>
    <w:rsid w:val="003F3A8B"/>
    <w:rsid w:val="00403829"/>
    <w:rsid w:val="00413E34"/>
    <w:rsid w:val="0042027D"/>
    <w:rsid w:val="0042038D"/>
    <w:rsid w:val="00421F52"/>
    <w:rsid w:val="00425421"/>
    <w:rsid w:val="00425D85"/>
    <w:rsid w:val="00425DEE"/>
    <w:rsid w:val="00426C09"/>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D4E71"/>
    <w:rsid w:val="004E0620"/>
    <w:rsid w:val="004E7BDB"/>
    <w:rsid w:val="004F1735"/>
    <w:rsid w:val="004F1A91"/>
    <w:rsid w:val="004F3FDF"/>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3184"/>
    <w:rsid w:val="00587FD4"/>
    <w:rsid w:val="0059450C"/>
    <w:rsid w:val="00595A31"/>
    <w:rsid w:val="00595E8F"/>
    <w:rsid w:val="005966FF"/>
    <w:rsid w:val="005A3093"/>
    <w:rsid w:val="005A4084"/>
    <w:rsid w:val="005B34B7"/>
    <w:rsid w:val="005B55B6"/>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7F2F"/>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A572A"/>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51EC"/>
    <w:rsid w:val="00797021"/>
    <w:rsid w:val="007A0DF3"/>
    <w:rsid w:val="007A293C"/>
    <w:rsid w:val="007A5025"/>
    <w:rsid w:val="007C2BCF"/>
    <w:rsid w:val="007D10DF"/>
    <w:rsid w:val="007D2A43"/>
    <w:rsid w:val="007D5F06"/>
    <w:rsid w:val="007D668D"/>
    <w:rsid w:val="007F1386"/>
    <w:rsid w:val="007F14F4"/>
    <w:rsid w:val="007F1F44"/>
    <w:rsid w:val="007F211B"/>
    <w:rsid w:val="007F5A4A"/>
    <w:rsid w:val="008016A2"/>
    <w:rsid w:val="00811365"/>
    <w:rsid w:val="00815DD0"/>
    <w:rsid w:val="00817D12"/>
    <w:rsid w:val="008228B5"/>
    <w:rsid w:val="008246EB"/>
    <w:rsid w:val="0082598C"/>
    <w:rsid w:val="00835A4E"/>
    <w:rsid w:val="008373A4"/>
    <w:rsid w:val="00842A0D"/>
    <w:rsid w:val="00845A23"/>
    <w:rsid w:val="0085657B"/>
    <w:rsid w:val="00863AE2"/>
    <w:rsid w:val="008647FF"/>
    <w:rsid w:val="0086596D"/>
    <w:rsid w:val="0087090A"/>
    <w:rsid w:val="008726D2"/>
    <w:rsid w:val="0087362D"/>
    <w:rsid w:val="008835DC"/>
    <w:rsid w:val="008849E7"/>
    <w:rsid w:val="00887A7D"/>
    <w:rsid w:val="008A2DF7"/>
    <w:rsid w:val="008B02A9"/>
    <w:rsid w:val="008B0642"/>
    <w:rsid w:val="008B389E"/>
    <w:rsid w:val="008B769E"/>
    <w:rsid w:val="008C277C"/>
    <w:rsid w:val="008C31A1"/>
    <w:rsid w:val="008C77F4"/>
    <w:rsid w:val="008D08AA"/>
    <w:rsid w:val="008D3F4B"/>
    <w:rsid w:val="008D66C8"/>
    <w:rsid w:val="008F70EE"/>
    <w:rsid w:val="008F7926"/>
    <w:rsid w:val="0090325E"/>
    <w:rsid w:val="009067D5"/>
    <w:rsid w:val="009129C1"/>
    <w:rsid w:val="00916304"/>
    <w:rsid w:val="00922FE0"/>
    <w:rsid w:val="009252A9"/>
    <w:rsid w:val="009252B7"/>
    <w:rsid w:val="00932B3F"/>
    <w:rsid w:val="00933B6C"/>
    <w:rsid w:val="00933E16"/>
    <w:rsid w:val="00934AB7"/>
    <w:rsid w:val="0093529E"/>
    <w:rsid w:val="00935769"/>
    <w:rsid w:val="00935A77"/>
    <w:rsid w:val="009378BB"/>
    <w:rsid w:val="0094147E"/>
    <w:rsid w:val="00946B15"/>
    <w:rsid w:val="00947D43"/>
    <w:rsid w:val="00956EF2"/>
    <w:rsid w:val="00962939"/>
    <w:rsid w:val="00963518"/>
    <w:rsid w:val="00971E69"/>
    <w:rsid w:val="0098656D"/>
    <w:rsid w:val="00990706"/>
    <w:rsid w:val="0099163E"/>
    <w:rsid w:val="0099491D"/>
    <w:rsid w:val="009A74FD"/>
    <w:rsid w:val="009C2A3F"/>
    <w:rsid w:val="009C4B06"/>
    <w:rsid w:val="009C5612"/>
    <w:rsid w:val="009F6231"/>
    <w:rsid w:val="00A03E9F"/>
    <w:rsid w:val="00A119F8"/>
    <w:rsid w:val="00A137FE"/>
    <w:rsid w:val="00A14B73"/>
    <w:rsid w:val="00A211DC"/>
    <w:rsid w:val="00A323A3"/>
    <w:rsid w:val="00A353D8"/>
    <w:rsid w:val="00A36401"/>
    <w:rsid w:val="00A37CDA"/>
    <w:rsid w:val="00A47ED1"/>
    <w:rsid w:val="00A529A5"/>
    <w:rsid w:val="00A53B22"/>
    <w:rsid w:val="00A54729"/>
    <w:rsid w:val="00A62797"/>
    <w:rsid w:val="00A644E6"/>
    <w:rsid w:val="00A6623D"/>
    <w:rsid w:val="00A74B28"/>
    <w:rsid w:val="00A7798C"/>
    <w:rsid w:val="00A85CF5"/>
    <w:rsid w:val="00A8770A"/>
    <w:rsid w:val="00A90E52"/>
    <w:rsid w:val="00A90E9F"/>
    <w:rsid w:val="00A9197C"/>
    <w:rsid w:val="00A92DE0"/>
    <w:rsid w:val="00A971C7"/>
    <w:rsid w:val="00AA2221"/>
    <w:rsid w:val="00AA6038"/>
    <w:rsid w:val="00AD66BF"/>
    <w:rsid w:val="00AD74AC"/>
    <w:rsid w:val="00AE4D7F"/>
    <w:rsid w:val="00AE6A78"/>
    <w:rsid w:val="00AF063F"/>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4C99"/>
    <w:rsid w:val="00BF71E9"/>
    <w:rsid w:val="00BF7894"/>
    <w:rsid w:val="00C02725"/>
    <w:rsid w:val="00C030FF"/>
    <w:rsid w:val="00C04AC4"/>
    <w:rsid w:val="00C06C7B"/>
    <w:rsid w:val="00C10AD7"/>
    <w:rsid w:val="00C204B5"/>
    <w:rsid w:val="00C27DC9"/>
    <w:rsid w:val="00C33D11"/>
    <w:rsid w:val="00C404F9"/>
    <w:rsid w:val="00C40BEB"/>
    <w:rsid w:val="00C43B9E"/>
    <w:rsid w:val="00C45274"/>
    <w:rsid w:val="00C5487D"/>
    <w:rsid w:val="00C562DE"/>
    <w:rsid w:val="00C6166A"/>
    <w:rsid w:val="00C67B21"/>
    <w:rsid w:val="00C71DFD"/>
    <w:rsid w:val="00C73F55"/>
    <w:rsid w:val="00C83EA2"/>
    <w:rsid w:val="00C84B50"/>
    <w:rsid w:val="00C87972"/>
    <w:rsid w:val="00C965A7"/>
    <w:rsid w:val="00CA0005"/>
    <w:rsid w:val="00CA1933"/>
    <w:rsid w:val="00CA2AB7"/>
    <w:rsid w:val="00CA5837"/>
    <w:rsid w:val="00CB4729"/>
    <w:rsid w:val="00CC019D"/>
    <w:rsid w:val="00CC3FFC"/>
    <w:rsid w:val="00CD1001"/>
    <w:rsid w:val="00CD3EF6"/>
    <w:rsid w:val="00CD5F8B"/>
    <w:rsid w:val="00CE0B7A"/>
    <w:rsid w:val="00CE15F5"/>
    <w:rsid w:val="00CE1EAE"/>
    <w:rsid w:val="00CE3034"/>
    <w:rsid w:val="00CE39D8"/>
    <w:rsid w:val="00CF2DBE"/>
    <w:rsid w:val="00D030E9"/>
    <w:rsid w:val="00D0391B"/>
    <w:rsid w:val="00D0486D"/>
    <w:rsid w:val="00D05730"/>
    <w:rsid w:val="00D12F13"/>
    <w:rsid w:val="00D2266B"/>
    <w:rsid w:val="00D442D6"/>
    <w:rsid w:val="00D44D16"/>
    <w:rsid w:val="00D538D1"/>
    <w:rsid w:val="00D5478E"/>
    <w:rsid w:val="00D54E85"/>
    <w:rsid w:val="00D64EE3"/>
    <w:rsid w:val="00D66C66"/>
    <w:rsid w:val="00D66E0E"/>
    <w:rsid w:val="00D67214"/>
    <w:rsid w:val="00D71319"/>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D1B31"/>
    <w:rsid w:val="00DD3B31"/>
    <w:rsid w:val="00DE1DFB"/>
    <w:rsid w:val="00DE7CA4"/>
    <w:rsid w:val="00DE7FC9"/>
    <w:rsid w:val="00DF222A"/>
    <w:rsid w:val="00E01A21"/>
    <w:rsid w:val="00E02328"/>
    <w:rsid w:val="00E023D1"/>
    <w:rsid w:val="00E111A5"/>
    <w:rsid w:val="00E31945"/>
    <w:rsid w:val="00E31F9D"/>
    <w:rsid w:val="00E3413C"/>
    <w:rsid w:val="00E34EA8"/>
    <w:rsid w:val="00E3649D"/>
    <w:rsid w:val="00E3684A"/>
    <w:rsid w:val="00E377C8"/>
    <w:rsid w:val="00E4050F"/>
    <w:rsid w:val="00E44005"/>
    <w:rsid w:val="00E5065B"/>
    <w:rsid w:val="00E62873"/>
    <w:rsid w:val="00E720AD"/>
    <w:rsid w:val="00E72C84"/>
    <w:rsid w:val="00E76064"/>
    <w:rsid w:val="00E8035B"/>
    <w:rsid w:val="00E96370"/>
    <w:rsid w:val="00E976F1"/>
    <w:rsid w:val="00EA2D1D"/>
    <w:rsid w:val="00EB5B97"/>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62DB"/>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41F7"/>
    <w:rsid w:val="00FC4C21"/>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821">
      <w:bodyDiv w:val="1"/>
      <w:marLeft w:val="0"/>
      <w:marRight w:val="0"/>
      <w:marTop w:val="0"/>
      <w:marBottom w:val="0"/>
      <w:divBdr>
        <w:top w:val="none" w:sz="0" w:space="0" w:color="auto"/>
        <w:left w:val="none" w:sz="0" w:space="0" w:color="auto"/>
        <w:bottom w:val="none" w:sz="0" w:space="0" w:color="auto"/>
        <w:right w:val="none" w:sz="0" w:space="0" w:color="auto"/>
      </w:divBdr>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1B6E-C099-4D64-B365-BD482845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6642</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2014-06-24T06:48:00Z</cp:lastPrinted>
  <dcterms:created xsi:type="dcterms:W3CDTF">2014-06-24T06:40:00Z</dcterms:created>
  <dcterms:modified xsi:type="dcterms:W3CDTF">2014-06-24T06:48:00Z</dcterms:modified>
  <cp:category>Aktualitätendienst Politik</cp:category>
</cp:coreProperties>
</file>