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848A9" w14:textId="77777777" w:rsidR="003A4C34" w:rsidRPr="00913AD6" w:rsidRDefault="003A4C34" w:rsidP="003A4C34">
      <w:pPr>
        <w:pStyle w:val="0berschrift3"/>
        <w:tabs>
          <w:tab w:val="left" w:pos="851"/>
        </w:tabs>
        <w:rPr>
          <w:rFonts w:cs="Arial"/>
          <w:b w:val="0"/>
          <w:i/>
          <w:color w:val="000000" w:themeColor="text1"/>
          <w:sz w:val="24"/>
          <w:u w:val="single"/>
        </w:rPr>
      </w:pPr>
      <w:r w:rsidRPr="00913AD6">
        <w:rPr>
          <w:rFonts w:cs="Arial"/>
          <w:b w:val="0"/>
          <w:i/>
          <w:color w:val="000000" w:themeColor="text1"/>
          <w:sz w:val="24"/>
          <w:u w:val="single"/>
        </w:rPr>
        <w:t xml:space="preserve">Arbeitsblatt </w:t>
      </w:r>
      <w:r>
        <w:rPr>
          <w:rFonts w:cs="Arial"/>
          <w:b w:val="0"/>
          <w:i/>
          <w:color w:val="000000" w:themeColor="text1"/>
          <w:sz w:val="24"/>
          <w:u w:val="single"/>
        </w:rPr>
        <w:t>3</w:t>
      </w:r>
      <w:r w:rsidRPr="00913AD6">
        <w:rPr>
          <w:rFonts w:cs="Arial"/>
          <w:b w:val="0"/>
          <w:i/>
          <w:color w:val="000000" w:themeColor="text1"/>
          <w:sz w:val="24"/>
          <w:u w:val="single"/>
        </w:rPr>
        <w:t xml:space="preserve">: </w:t>
      </w:r>
      <w:bookmarkStart w:id="0" w:name="_Hlk58164695"/>
      <w:r>
        <w:rPr>
          <w:rFonts w:cs="Arial"/>
          <w:b w:val="0"/>
          <w:i/>
          <w:color w:val="000000" w:themeColor="text1"/>
          <w:sz w:val="24"/>
          <w:u w:val="single"/>
        </w:rPr>
        <w:t xml:space="preserve">Kattowitz als Beispiel für die moderne Regionalentwicklung? </w:t>
      </w:r>
      <w:bookmarkEnd w:id="0"/>
    </w:p>
    <w:p w14:paraId="6C799A84" w14:textId="6B787D78" w:rsidR="00847767" w:rsidRDefault="00847767" w:rsidP="003A4C34"/>
    <w:p w14:paraId="67FEB95D" w14:textId="77777777" w:rsidR="003A4C34" w:rsidRPr="003A4C34" w:rsidRDefault="003A4C34" w:rsidP="003A4C34">
      <w:pPr>
        <w:spacing w:after="60" w:line="266" w:lineRule="auto"/>
        <w:jc w:val="both"/>
        <w:rPr>
          <w:rFonts w:ascii="Arial" w:eastAsia="Times New Roman" w:hAnsi="Arial" w:cs="Times New Roman"/>
          <w:lang w:eastAsia="de-DE"/>
        </w:rPr>
      </w:pPr>
      <w:r w:rsidRPr="003A4C34">
        <w:rPr>
          <w:rFonts w:ascii="Arial" w:eastAsia="Times New Roman" w:hAnsi="Arial" w:cs="Times New Roman"/>
          <w:lang w:eastAsia="de-DE"/>
        </w:rPr>
        <w:t>Die Region Kattowitz in Schlesien war früher bekannt als eine der bedeutendsten Kohle- und Erzlagerstätte Polens. Nachdem der Bergbau in Polen immer weiter zurückging dachten viele, dass die Stadt und ihre Umgebung zu „Geisterstädten“ werden würden - so wie es überall auf der Welt passierte, sobald die Industrie „wegging“. Doch in Kattowitz war das Gegenteil der Fall: Die Stadt entwickelte sich innerhalb kürzester Zeit zum kulturellen Geheimtipp Polens. Aber wie kam es dazu?</w:t>
      </w:r>
    </w:p>
    <w:p w14:paraId="321A1F12" w14:textId="77777777" w:rsidR="003A4C34" w:rsidRPr="003A4C34" w:rsidRDefault="003A4C34" w:rsidP="003A4C34">
      <w:pPr>
        <w:spacing w:after="60" w:line="266" w:lineRule="auto"/>
        <w:jc w:val="both"/>
        <w:rPr>
          <w:rFonts w:ascii="Arial" w:eastAsia="Times New Roman" w:hAnsi="Arial" w:cs="Times New Roman"/>
          <w:lang w:eastAsia="de-DE"/>
        </w:rPr>
      </w:pPr>
      <w:r w:rsidRPr="003A4C34">
        <w:rPr>
          <w:rFonts w:ascii="Arial" w:eastAsia="Times New Roman" w:hAnsi="Arial" w:cs="Times New Roman"/>
          <w:lang w:eastAsia="de-DE"/>
        </w:rPr>
        <w:t>Die Stadtverwaltung entwarf, im Zuge der (erfolglosen) Bewerbung um den Titel</w:t>
      </w:r>
      <w:r w:rsidRPr="003A4C34">
        <w:rPr>
          <w:rFonts w:ascii="Arial" w:eastAsia="Times New Roman" w:hAnsi="Arial" w:cs="Times New Roman"/>
          <w:i/>
          <w:lang w:eastAsia="de-DE"/>
        </w:rPr>
        <w:t xml:space="preserve"> Europäische Kulturhauptstadt 2016</w:t>
      </w:r>
      <w:r w:rsidRPr="003A4C34">
        <w:rPr>
          <w:rFonts w:ascii="Arial" w:eastAsia="Times New Roman" w:hAnsi="Arial" w:cs="Times New Roman"/>
          <w:lang w:eastAsia="de-DE"/>
        </w:rPr>
        <w:t xml:space="preserve">, eine komplett neue Konzeption für den Stadtkern: Das Zentrum wurde zur autofreien Zone, was zu Neueröffnungen von zahlreichen Geschäften, Bars und Restaurants in der neugeschaffenen Fußgängerzone führte. Das Schlesische Museum wurde fertiggestellt, welches als architektonisches Meisterwerk gilt, da es in ein stillgelegtes Bergwerk integriert wurde und sogar Ausstellungsräume „unter Tage“ hat. Neben dem Museum befindet sich das NOSPR, die neu erbauten Konzert- und Übungssäle des Nationalen Symphonieorchesters des Polnischen Rundfunks. Ein weiteres Highlight der Stadt ist die frisch sanierte </w:t>
      </w:r>
      <w:proofErr w:type="spellStart"/>
      <w:r w:rsidRPr="003A4C34">
        <w:rPr>
          <w:rFonts w:ascii="Arial" w:eastAsia="Times New Roman" w:hAnsi="Arial" w:cs="Times New Roman"/>
          <w:lang w:eastAsia="de-DE"/>
        </w:rPr>
        <w:t>Spodek</w:t>
      </w:r>
      <w:proofErr w:type="spellEnd"/>
      <w:r w:rsidRPr="003A4C34">
        <w:rPr>
          <w:rFonts w:ascii="Arial" w:eastAsia="Times New Roman" w:hAnsi="Arial" w:cs="Times New Roman"/>
          <w:lang w:eastAsia="de-DE"/>
        </w:rPr>
        <w:t>, eine Mehrzweckhalle die wie ein UFO geformt ist. Hier findet, neben Messen und Konzerten, das jährliche Finale der e-Sports Turnierserie ESL Intel Extreme Masters statt. Auch für Unternehmen hat die Stadt viel zu bieten: Aufgrund vergleichsweiser billiger Mieten siedelten sich zahlreiche Unternehmen, insbesondere Start-ups, im Silesia Business Park an. Auch viele deutsche Firmen gründen ihre polnische Vertretung nunmehr eher in Schlesien anstatt in der Hauptstadt. Ein weiterer Vorteil für Unternehmen ist auch die ortsansässige Universität, deren Absolventen anschließend oft eine Anstellung im Business Park finden.</w:t>
      </w:r>
    </w:p>
    <w:p w14:paraId="08724B06" w14:textId="2F26B9CD" w:rsidR="003A4C34" w:rsidRDefault="003A4C34" w:rsidP="003A4C34"/>
    <w:p w14:paraId="69164C64" w14:textId="77777777" w:rsidR="003A4C34" w:rsidRPr="003A4C34" w:rsidRDefault="003A4C34" w:rsidP="003A4C34">
      <w:pPr>
        <w:spacing w:after="60" w:line="266" w:lineRule="auto"/>
        <w:jc w:val="both"/>
        <w:rPr>
          <w:rFonts w:ascii="Arial" w:eastAsia="Times New Roman" w:hAnsi="Arial" w:cs="Times New Roman"/>
          <w:i/>
          <w:iCs/>
          <w:lang w:eastAsia="de-DE"/>
        </w:rPr>
      </w:pPr>
      <w:r w:rsidRPr="003A4C34">
        <w:rPr>
          <w:rFonts w:ascii="Arial" w:eastAsia="Times New Roman" w:hAnsi="Arial" w:cs="Times New Roman"/>
          <w:i/>
          <w:iCs/>
          <w:lang w:eastAsia="de-DE"/>
        </w:rPr>
        <w:t>1. Erstellen Sie eine kurze Zusammenfassung der Herausforderungen, vor die die Globalisierung die Stadt Kattowitz stellte. Wie konnte die Stadt den Abwärtstrend verhindern und sich in eine wichtige polnische Metropole entwickeln? Informieren Sie sich, wenn nötig, zusätzlich im Internet.</w:t>
      </w:r>
    </w:p>
    <w:p w14:paraId="177D9071" w14:textId="77777777" w:rsidR="003A4C34" w:rsidRPr="003A4C34" w:rsidRDefault="003A4C34" w:rsidP="003A4C34">
      <w:pPr>
        <w:spacing w:after="60" w:line="266" w:lineRule="auto"/>
        <w:jc w:val="both"/>
        <w:rPr>
          <w:rFonts w:ascii="Arial" w:eastAsia="Times New Roman" w:hAnsi="Arial" w:cs="Times New Roman"/>
          <w:lang w:eastAsia="de-DE"/>
        </w:rPr>
      </w:pPr>
    </w:p>
    <w:p w14:paraId="471AF90C" w14:textId="77777777" w:rsidR="003A4C34" w:rsidRPr="003A4C34" w:rsidRDefault="003A4C34" w:rsidP="003A4C34">
      <w:pPr>
        <w:spacing w:after="60" w:line="266" w:lineRule="auto"/>
        <w:jc w:val="both"/>
        <w:rPr>
          <w:rFonts w:ascii="Arial" w:eastAsia="Times New Roman" w:hAnsi="Arial" w:cs="Times New Roman"/>
          <w:lang w:eastAsia="de-DE"/>
        </w:rPr>
      </w:pPr>
      <w:r w:rsidRPr="003A4C34">
        <w:rPr>
          <w:rFonts w:ascii="Arial" w:eastAsia="Times New Roman" w:hAnsi="Arial" w:cs="Times New Roman"/>
          <w:lang w:eastAsia="de-DE"/>
        </w:rPr>
        <w:t xml:space="preserve">Ähnlich wie die städtische Region um Kattowitz kämpft auch der deutsche, ländlich geprägte Landkreis Uckermark um seine Zukunft. Der Zukunftsatlas der </w:t>
      </w:r>
      <w:proofErr w:type="spellStart"/>
      <w:r w:rsidRPr="003A4C34">
        <w:rPr>
          <w:rFonts w:ascii="Arial" w:eastAsia="Times New Roman" w:hAnsi="Arial" w:cs="Times New Roman"/>
          <w:lang w:eastAsia="de-DE"/>
        </w:rPr>
        <w:t>Prognos</w:t>
      </w:r>
      <w:proofErr w:type="spellEnd"/>
      <w:r w:rsidRPr="003A4C34">
        <w:rPr>
          <w:rFonts w:ascii="Arial" w:eastAsia="Times New Roman" w:hAnsi="Arial" w:cs="Times New Roman"/>
          <w:lang w:eastAsia="de-DE"/>
        </w:rPr>
        <w:t xml:space="preserve"> AG bezeichnete die Uckermark 2019 als eine Region mit „sehr hohen Risiken“ in ihren Zukunftschancen. Hierbei werden für die endgültige Einstufung eines Landkreises unter anderem Faktoren aus den Bereichen Demografie, soziale Lage, Wohlstand, Arbeitsmarkt und allgemeine Wettbewerbsfähigkeit analysiert. Neben der Uckermark erhielten acht weitere deutsche Landkreise dieselbe Einschätzung. Ein großes Problem dieser Regionen ist oft die allgemeine Strukturschwäche. Die Frage, die sich die PolitikerInnen stellen, ist: Wie können wir den Regionen helfen?</w:t>
      </w:r>
    </w:p>
    <w:p w14:paraId="70D10B76" w14:textId="77777777" w:rsidR="003A4C34" w:rsidRPr="003A4C34" w:rsidRDefault="003A4C34" w:rsidP="003A4C34">
      <w:pPr>
        <w:spacing w:after="60" w:line="266" w:lineRule="auto"/>
        <w:jc w:val="both"/>
        <w:rPr>
          <w:rFonts w:ascii="Arial" w:eastAsia="Times New Roman" w:hAnsi="Arial" w:cs="Times New Roman"/>
          <w:i/>
          <w:iCs/>
          <w:lang w:eastAsia="de-DE"/>
        </w:rPr>
      </w:pPr>
      <w:r w:rsidRPr="003A4C34">
        <w:rPr>
          <w:rFonts w:ascii="Arial" w:eastAsia="Times New Roman" w:hAnsi="Arial" w:cs="Times New Roman"/>
          <w:i/>
          <w:iCs/>
          <w:lang w:eastAsia="de-DE"/>
        </w:rPr>
        <w:t>2. Dem Landkreis Uckermark wurde keine gute Zukunftsprognose attestiert. Woran liegt das? Informieren Sie sich über die Bevölkerungsentwicklung, die Wirtschaft und den Arbeitsmarkt in der Region.</w:t>
      </w:r>
    </w:p>
    <w:p w14:paraId="1EB1A05C" w14:textId="77777777" w:rsidR="003A4C34" w:rsidRPr="003A4C34" w:rsidRDefault="003A4C34" w:rsidP="003A4C34">
      <w:pPr>
        <w:spacing w:after="60" w:line="266" w:lineRule="auto"/>
        <w:jc w:val="both"/>
        <w:rPr>
          <w:rFonts w:ascii="Arial" w:eastAsia="Times New Roman" w:hAnsi="Arial" w:cs="Times New Roman"/>
          <w:i/>
          <w:iCs/>
          <w:lang w:eastAsia="de-DE"/>
        </w:rPr>
      </w:pPr>
      <w:r w:rsidRPr="003A4C34">
        <w:rPr>
          <w:rFonts w:ascii="Arial" w:eastAsia="Times New Roman" w:hAnsi="Arial" w:cs="Times New Roman"/>
          <w:i/>
          <w:iCs/>
          <w:lang w:eastAsia="de-DE"/>
        </w:rPr>
        <w:t xml:space="preserve">3. Welche Chancen sehen Sie für den Landkreis Uckermark in der Zukunft? Sehen Sie die Uckermark als Deutschlands Naturtourismus-Gebiet Nummer 1, als Kulturregion oder als deutsches Silicon-Valley? Bilden Sie Gruppen und erstellen Sie ein kurzes Marketingkonzept für die Region.  Beachten Sie auch die Standortfaktoren des Landkreises Uckermark sowie die bereits existierende Infrastruktur. </w:t>
      </w:r>
    </w:p>
    <w:p w14:paraId="7BB2B327" w14:textId="77777777" w:rsidR="003A4C34" w:rsidRPr="003A4C34" w:rsidRDefault="003A4C34" w:rsidP="003A4C34">
      <w:bookmarkStart w:id="1" w:name="_GoBack"/>
      <w:bookmarkEnd w:id="1"/>
    </w:p>
    <w:sectPr w:rsidR="003A4C34" w:rsidRPr="003A4C34">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6C04F" w14:textId="77777777" w:rsidR="00D05792" w:rsidRDefault="00D05792" w:rsidP="00B64814">
      <w:pPr>
        <w:spacing w:after="0" w:line="240" w:lineRule="auto"/>
      </w:pPr>
      <w:r>
        <w:separator/>
      </w:r>
    </w:p>
  </w:endnote>
  <w:endnote w:type="continuationSeparator" w:id="0">
    <w:p w14:paraId="66B39052" w14:textId="77777777" w:rsidR="00D05792" w:rsidRDefault="00D05792" w:rsidP="00B64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Webdings">
    <w:altName w:val="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76264" w14:textId="77777777" w:rsidR="00D05792" w:rsidRDefault="00D05792" w:rsidP="00B64814">
      <w:pPr>
        <w:spacing w:after="0" w:line="240" w:lineRule="auto"/>
      </w:pPr>
      <w:r>
        <w:separator/>
      </w:r>
    </w:p>
  </w:footnote>
  <w:footnote w:type="continuationSeparator" w:id="0">
    <w:p w14:paraId="05441EC0" w14:textId="77777777" w:rsidR="00D05792" w:rsidRDefault="00D05792" w:rsidP="00B648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2767"/>
    </w:tblGrid>
    <w:tr w:rsidR="00B64814" w:rsidRPr="00B64814" w14:paraId="681681CA" w14:textId="77777777" w:rsidTr="00087BF7">
      <w:trPr>
        <w:trHeight w:val="272"/>
      </w:trPr>
      <w:tc>
        <w:tcPr>
          <w:tcW w:w="6946" w:type="dxa"/>
        </w:tcPr>
        <w:p w14:paraId="33FD9448" w14:textId="77777777" w:rsidR="00B64814" w:rsidRPr="00B64814" w:rsidRDefault="00B64814" w:rsidP="00B64814">
          <w:pPr>
            <w:spacing w:after="60" w:line="240" w:lineRule="exact"/>
            <w:rPr>
              <w:rFonts w:ascii="Arial" w:eastAsia="Times New Roman" w:hAnsi="Arial" w:cs="Times New Roman"/>
              <w:i/>
              <w:sz w:val="20"/>
              <w:szCs w:val="20"/>
              <w:lang w:eastAsia="de-DE"/>
            </w:rPr>
          </w:pPr>
          <w:r w:rsidRPr="00B64814">
            <w:rPr>
              <w:rFonts w:ascii="Arial" w:eastAsia="Times New Roman" w:hAnsi="Arial" w:cs="Times New Roman"/>
              <w:i/>
              <w:noProof/>
              <w:sz w:val="20"/>
              <w:szCs w:val="20"/>
              <w:lang w:eastAsia="de-DE"/>
            </w:rPr>
            <w:t>Deutsche und polnische Wirtschaft im Vergleich</w:t>
          </w:r>
        </w:p>
      </w:tc>
      <w:tc>
        <w:tcPr>
          <w:tcW w:w="2767" w:type="dxa"/>
        </w:tcPr>
        <w:p w14:paraId="222E5F9B" w14:textId="77777777" w:rsidR="00B64814" w:rsidRPr="00B64814" w:rsidRDefault="00B64814" w:rsidP="00B64814">
          <w:pPr>
            <w:tabs>
              <w:tab w:val="center" w:pos="1326"/>
              <w:tab w:val="right" w:pos="2653"/>
            </w:tabs>
            <w:spacing w:after="60" w:line="240" w:lineRule="exact"/>
            <w:rPr>
              <w:rFonts w:ascii="Arial" w:eastAsia="Times New Roman" w:hAnsi="Arial" w:cs="Times New Roman"/>
              <w:i/>
              <w:sz w:val="20"/>
              <w:szCs w:val="20"/>
              <w:lang w:eastAsia="de-DE"/>
            </w:rPr>
          </w:pPr>
          <w:r w:rsidRPr="00B64814">
            <w:rPr>
              <w:rFonts w:ascii="Arial" w:eastAsia="Times New Roman" w:hAnsi="Arial" w:cs="Times New Roman"/>
              <w:b/>
              <w:i/>
              <w:sz w:val="20"/>
              <w:szCs w:val="20"/>
              <w:lang w:eastAsia="de-DE"/>
            </w:rPr>
            <w:t xml:space="preserve">   Politik und Gesellschaft</w:t>
          </w:r>
          <w:r w:rsidRPr="00B64814">
            <w:rPr>
              <w:rFonts w:ascii="Webdings" w:eastAsia="Arial" w:hAnsi="Webdings" w:cs="Arial"/>
              <w:i/>
              <w:sz w:val="21"/>
            </w:rPr>
            <w:t></w:t>
          </w:r>
        </w:p>
      </w:tc>
    </w:tr>
  </w:tbl>
  <w:p w14:paraId="427E2356" w14:textId="77777777" w:rsidR="00B64814" w:rsidRDefault="00B6481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4E141F"/>
    <w:multiLevelType w:val="hybridMultilevel"/>
    <w:tmpl w:val="19AA000A"/>
    <w:lvl w:ilvl="0" w:tplc="C026E844">
      <w:numFmt w:val="bullet"/>
      <w:lvlText w:val="–"/>
      <w:lvlJc w:val="left"/>
      <w:pPr>
        <w:ind w:left="699" w:hanging="339"/>
      </w:pPr>
      <w:rPr>
        <w:rFonts w:ascii="Arial" w:eastAsia="Arial" w:hAnsi="Arial" w:cs="Arial" w:hint="default"/>
        <w:w w:val="99"/>
        <w:sz w:val="20"/>
        <w:szCs w:val="20"/>
        <w:lang w:val="de-DE" w:eastAsia="en-US" w:bidi="ar-SA"/>
      </w:rPr>
    </w:lvl>
    <w:lvl w:ilvl="1" w:tplc="1B38BE1C">
      <w:numFmt w:val="bullet"/>
      <w:lvlText w:val="•"/>
      <w:lvlJc w:val="left"/>
      <w:pPr>
        <w:ind w:left="1534" w:hanging="339"/>
      </w:pPr>
      <w:rPr>
        <w:rFonts w:hint="default"/>
        <w:lang w:val="de-DE" w:eastAsia="en-US" w:bidi="ar-SA"/>
      </w:rPr>
    </w:lvl>
    <w:lvl w:ilvl="2" w:tplc="F070A77E">
      <w:numFmt w:val="bullet"/>
      <w:lvlText w:val="•"/>
      <w:lvlJc w:val="left"/>
      <w:pPr>
        <w:ind w:left="2369" w:hanging="339"/>
      </w:pPr>
      <w:rPr>
        <w:rFonts w:hint="default"/>
        <w:lang w:val="de-DE" w:eastAsia="en-US" w:bidi="ar-SA"/>
      </w:rPr>
    </w:lvl>
    <w:lvl w:ilvl="3" w:tplc="200EF9E0">
      <w:numFmt w:val="bullet"/>
      <w:lvlText w:val="•"/>
      <w:lvlJc w:val="left"/>
      <w:pPr>
        <w:ind w:left="3204" w:hanging="339"/>
      </w:pPr>
      <w:rPr>
        <w:rFonts w:hint="default"/>
        <w:lang w:val="de-DE" w:eastAsia="en-US" w:bidi="ar-SA"/>
      </w:rPr>
    </w:lvl>
    <w:lvl w:ilvl="4" w:tplc="96B63750">
      <w:numFmt w:val="bullet"/>
      <w:lvlText w:val="•"/>
      <w:lvlJc w:val="left"/>
      <w:pPr>
        <w:ind w:left="4039" w:hanging="339"/>
      </w:pPr>
      <w:rPr>
        <w:rFonts w:hint="default"/>
        <w:lang w:val="de-DE" w:eastAsia="en-US" w:bidi="ar-SA"/>
      </w:rPr>
    </w:lvl>
    <w:lvl w:ilvl="5" w:tplc="53FAF8A6">
      <w:numFmt w:val="bullet"/>
      <w:lvlText w:val="•"/>
      <w:lvlJc w:val="left"/>
      <w:pPr>
        <w:ind w:left="4874" w:hanging="339"/>
      </w:pPr>
      <w:rPr>
        <w:rFonts w:hint="default"/>
        <w:lang w:val="de-DE" w:eastAsia="en-US" w:bidi="ar-SA"/>
      </w:rPr>
    </w:lvl>
    <w:lvl w:ilvl="6" w:tplc="A8B6BA7E">
      <w:numFmt w:val="bullet"/>
      <w:lvlText w:val="•"/>
      <w:lvlJc w:val="left"/>
      <w:pPr>
        <w:ind w:left="5709" w:hanging="339"/>
      </w:pPr>
      <w:rPr>
        <w:rFonts w:hint="default"/>
        <w:lang w:val="de-DE" w:eastAsia="en-US" w:bidi="ar-SA"/>
      </w:rPr>
    </w:lvl>
    <w:lvl w:ilvl="7" w:tplc="0E646438">
      <w:numFmt w:val="bullet"/>
      <w:lvlText w:val="•"/>
      <w:lvlJc w:val="left"/>
      <w:pPr>
        <w:ind w:left="6544" w:hanging="339"/>
      </w:pPr>
      <w:rPr>
        <w:rFonts w:hint="default"/>
        <w:lang w:val="de-DE" w:eastAsia="en-US" w:bidi="ar-SA"/>
      </w:rPr>
    </w:lvl>
    <w:lvl w:ilvl="8" w:tplc="1180C7FA">
      <w:numFmt w:val="bullet"/>
      <w:lvlText w:val="•"/>
      <w:lvlJc w:val="left"/>
      <w:pPr>
        <w:ind w:left="7379" w:hanging="339"/>
      </w:pPr>
      <w:rPr>
        <w:rFonts w:hint="default"/>
        <w:lang w:val="de-DE" w:eastAsia="en-US" w:bidi="ar-SA"/>
      </w:rPr>
    </w:lvl>
  </w:abstractNum>
  <w:abstractNum w:abstractNumId="1" w15:restartNumberingAfterBreak="0">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814"/>
    <w:rsid w:val="003A4C34"/>
    <w:rsid w:val="004D3261"/>
    <w:rsid w:val="005336AC"/>
    <w:rsid w:val="006F7BF8"/>
    <w:rsid w:val="00847767"/>
    <w:rsid w:val="00B64814"/>
    <w:rsid w:val="00C07847"/>
    <w:rsid w:val="00D05792"/>
    <w:rsid w:val="00E6683C"/>
    <w:rsid w:val="00EA53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42EB9"/>
  <w15:chartTrackingRefBased/>
  <w15:docId w15:val="{166CF955-D346-4C4F-9CE4-67EA0889F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648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4814"/>
  </w:style>
  <w:style w:type="paragraph" w:styleId="Fuzeile">
    <w:name w:val="footer"/>
    <w:basedOn w:val="Standard"/>
    <w:link w:val="FuzeileZchn"/>
    <w:uiPriority w:val="99"/>
    <w:unhideWhenUsed/>
    <w:rsid w:val="00B648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64814"/>
  </w:style>
  <w:style w:type="table" w:customStyle="1" w:styleId="EinfacheTabelle11">
    <w:name w:val="Einfache Tabelle 11"/>
    <w:basedOn w:val="NormaleTabelle"/>
    <w:next w:val="EinfacheTabelle1"/>
    <w:uiPriority w:val="41"/>
    <w:rsid w:val="006F7BF8"/>
    <w:pPr>
      <w:spacing w:after="0" w:line="240" w:lineRule="auto"/>
    </w:pPr>
    <w:rPr>
      <w:rFonts w:ascii="Times New Roman" w:eastAsia="Times New Roman" w:hAnsi="Times New Roman" w:cs="Times New Roman"/>
      <w:sz w:val="20"/>
      <w:szCs w:val="20"/>
      <w:lang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EinfacheTabelle1">
    <w:name w:val="Plain Table 1"/>
    <w:basedOn w:val="NormaleTabelle"/>
    <w:uiPriority w:val="41"/>
    <w:rsid w:val="006F7BF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eschriftung1">
    <w:name w:val="Beschriftung1"/>
    <w:basedOn w:val="Standard"/>
    <w:next w:val="Standard"/>
    <w:unhideWhenUsed/>
    <w:qFormat/>
    <w:rsid w:val="00E6683C"/>
    <w:pPr>
      <w:spacing w:after="200" w:line="240" w:lineRule="auto"/>
    </w:pPr>
    <w:rPr>
      <w:rFonts w:ascii="Arial" w:eastAsia="Times New Roman" w:hAnsi="Arial" w:cs="Times New Roman"/>
      <w:i/>
      <w:iCs/>
      <w:color w:val="44546A"/>
      <w:sz w:val="18"/>
      <w:szCs w:val="18"/>
      <w:lang w:eastAsia="de-DE"/>
    </w:rPr>
  </w:style>
  <w:style w:type="paragraph" w:customStyle="1" w:styleId="0berschrift3">
    <w:name w:val="* 0 Überschrift 3"/>
    <w:basedOn w:val="Standard"/>
    <w:next w:val="Standard"/>
    <w:qFormat/>
    <w:rsid w:val="003A4C34"/>
    <w:pPr>
      <w:spacing w:after="60" w:line="240" w:lineRule="exact"/>
    </w:pPr>
    <w:rPr>
      <w:rFonts w:ascii="Arial" w:eastAsia="Times New Roman" w:hAnsi="Arial" w:cs="Times New Roman"/>
      <w:b/>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3012</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Krzoska</dc:creator>
  <cp:keywords/>
  <dc:description/>
  <cp:lastModifiedBy>Markus Krzoska</cp:lastModifiedBy>
  <cp:revision>2</cp:revision>
  <cp:lastPrinted>2021-01-23T10:18:00Z</cp:lastPrinted>
  <dcterms:created xsi:type="dcterms:W3CDTF">2021-01-23T10:19:00Z</dcterms:created>
  <dcterms:modified xsi:type="dcterms:W3CDTF">2021-01-23T10:19:00Z</dcterms:modified>
</cp:coreProperties>
</file>