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C6" w:rsidRPr="00B95874" w:rsidRDefault="003A2FC6" w:rsidP="00673687">
      <w:pPr>
        <w:pStyle w:val="1Standardflietext"/>
        <w:jc w:val="both"/>
        <w:rPr>
          <w:rFonts w:cs="Arial"/>
          <w:i/>
          <w:sz w:val="24"/>
          <w:szCs w:val="22"/>
          <w:u w:val="single"/>
        </w:rPr>
      </w:pPr>
      <w:r w:rsidRPr="00B95874">
        <w:rPr>
          <w:rFonts w:cs="Arial"/>
          <w:i/>
          <w:sz w:val="24"/>
          <w:szCs w:val="22"/>
          <w:u w:val="single"/>
        </w:rPr>
        <w:t xml:space="preserve">Arbeitsblatt 3: Folgen von Migration </w:t>
      </w:r>
    </w:p>
    <w:p w:rsidR="003A2FC6" w:rsidRPr="00B95874" w:rsidRDefault="003A2FC6" w:rsidP="00673687">
      <w:pPr>
        <w:pStyle w:val="0berschrift3"/>
        <w:jc w:val="both"/>
        <w:rPr>
          <w:rFonts w:cs="Arial"/>
          <w:sz w:val="22"/>
          <w:szCs w:val="22"/>
        </w:rPr>
      </w:pPr>
    </w:p>
    <w:p w:rsidR="003A2FC6" w:rsidRPr="00B95874" w:rsidRDefault="003A2FC6" w:rsidP="00673687">
      <w:pPr>
        <w:pStyle w:val="0berschrift3"/>
        <w:jc w:val="both"/>
        <w:rPr>
          <w:rFonts w:cs="Arial"/>
          <w:sz w:val="24"/>
          <w:szCs w:val="22"/>
        </w:rPr>
      </w:pPr>
      <w:r w:rsidRPr="00B95874">
        <w:rPr>
          <w:rFonts w:cs="Arial"/>
          <w:sz w:val="24"/>
          <w:szCs w:val="22"/>
        </w:rPr>
        <w:t>Soziologische Folgen der Migration</w:t>
      </w:r>
    </w:p>
    <w:p w:rsidR="003A2FC6" w:rsidRPr="00B95874" w:rsidRDefault="003A2FC6" w:rsidP="00673687">
      <w:pPr>
        <w:pStyle w:val="1Standardflietext"/>
        <w:jc w:val="both"/>
        <w:rPr>
          <w:rFonts w:cs="Arial"/>
          <w:i/>
          <w:iCs/>
          <w:color w:val="000000"/>
          <w:sz w:val="22"/>
          <w:szCs w:val="22"/>
        </w:rPr>
      </w:pPr>
      <w:r w:rsidRPr="00B95874">
        <w:rPr>
          <w:rFonts w:cs="Arial"/>
          <w:i/>
          <w:iCs/>
          <w:color w:val="000000"/>
          <w:sz w:val="22"/>
          <w:szCs w:val="22"/>
        </w:rPr>
        <w:t>Nicht immer hat der Aufenthalt im Ausland für die Betroffenen und ihre Familien positive Auswirkungen</w:t>
      </w:r>
      <w:r w:rsidR="008103D6">
        <w:rPr>
          <w:rFonts w:cs="Arial"/>
          <w:i/>
          <w:iCs/>
          <w:color w:val="000000"/>
          <w:sz w:val="22"/>
          <w:szCs w:val="22"/>
        </w:rPr>
        <w:t>. Die Nachteile und Gefahren be</w:t>
      </w:r>
      <w:r w:rsidRPr="00B95874">
        <w:rPr>
          <w:rFonts w:cs="Arial"/>
          <w:i/>
          <w:iCs/>
          <w:color w:val="000000"/>
          <w:sz w:val="22"/>
          <w:szCs w:val="22"/>
        </w:rPr>
        <w:t>schreibt die Demografin und Migrationsforsche</w:t>
      </w:r>
      <w:r w:rsidRPr="00B95874">
        <w:rPr>
          <w:rFonts w:cs="Arial"/>
          <w:i/>
          <w:iCs/>
          <w:color w:val="000000"/>
          <w:sz w:val="22"/>
          <w:szCs w:val="22"/>
        </w:rPr>
        <w:softHyphen/>
        <w:t>rin Krystyna Iglicka.</w:t>
      </w:r>
    </w:p>
    <w:p w:rsidR="003A2FC6" w:rsidRPr="00B95874" w:rsidRDefault="003A2FC6" w:rsidP="00673687">
      <w:pPr>
        <w:pStyle w:val="1Standardflietext"/>
        <w:jc w:val="both"/>
        <w:rPr>
          <w:rFonts w:cs="Arial"/>
          <w:sz w:val="22"/>
          <w:szCs w:val="22"/>
        </w:rPr>
      </w:pPr>
      <w:r w:rsidRPr="00B95874">
        <w:rPr>
          <w:rFonts w:cs="Arial"/>
          <w:color w:val="000000"/>
          <w:sz w:val="22"/>
          <w:szCs w:val="22"/>
        </w:rPr>
        <w:t>Die unmittelbaren Nutznießer der Migration sind mehrheitlich diejenigen polnischen Migranten, die eine Möglichke</w:t>
      </w:r>
      <w:r w:rsidR="00B30F43">
        <w:rPr>
          <w:rFonts w:cs="Arial"/>
          <w:color w:val="000000"/>
          <w:sz w:val="22"/>
          <w:szCs w:val="22"/>
        </w:rPr>
        <w:t>it gefunden haben, legal im Aus</w:t>
      </w:r>
      <w:r w:rsidRPr="00B95874">
        <w:rPr>
          <w:rFonts w:cs="Arial"/>
          <w:color w:val="000000"/>
          <w:sz w:val="22"/>
          <w:szCs w:val="22"/>
        </w:rPr>
        <w:t xml:space="preserve">land zu arbeiten und ein Einkommen zu beziehen. Da die Mehrzahl von ihnen jedoch einer Tätigkeit unter der eigenen Qualifikation und dem eigenen Bildungsniveau nachgeht, liegt hier sofort die Schlussfolgerung nahe, dass in absehbarer Zeit ein Teil von ihnen zu den größten Verlierern dieses Prozesses zählen wird. Für sie wird es weder eine Aufstiegsmöglichkeit in Großbritannien geben, </w:t>
      </w:r>
      <w:r w:rsidRPr="00B95874">
        <w:rPr>
          <w:rFonts w:cs="Arial"/>
          <w:sz w:val="22"/>
          <w:szCs w:val="22"/>
        </w:rPr>
        <w:t>noch werden sie sich – nach Jahren der Tätigkeit im Bereich von Dienstleistungen, die keine höhere Qualifikation erfordern – von einer Rückkehr nach Polen irgendetwas versprechen können. Wenn sie zurückkehren, werden wir</w:t>
      </w:r>
      <w:bookmarkStart w:id="0" w:name="_GoBack"/>
      <w:bookmarkEnd w:id="0"/>
      <w:r w:rsidRPr="00B95874">
        <w:rPr>
          <w:rFonts w:cs="Arial"/>
          <w:sz w:val="22"/>
          <w:szCs w:val="22"/>
        </w:rPr>
        <w:t xml:space="preserve"> es in vielen Fällen mit d</w:t>
      </w:r>
      <w:r w:rsidR="00B30F43">
        <w:rPr>
          <w:rFonts w:cs="Arial"/>
          <w:sz w:val="22"/>
          <w:szCs w:val="22"/>
        </w:rPr>
        <w:t>em Phänomen der doppelten Margi</w:t>
      </w:r>
      <w:r w:rsidRPr="00B95874">
        <w:rPr>
          <w:rFonts w:cs="Arial"/>
          <w:sz w:val="22"/>
          <w:szCs w:val="22"/>
        </w:rPr>
        <w:t>nalisierung zu tun</w:t>
      </w:r>
      <w:r w:rsidR="00B30F43">
        <w:rPr>
          <w:rFonts w:cs="Arial"/>
          <w:sz w:val="22"/>
          <w:szCs w:val="22"/>
        </w:rPr>
        <w:t xml:space="preserve"> haben, was, vor allem auf regi</w:t>
      </w:r>
      <w:r w:rsidRPr="00B95874">
        <w:rPr>
          <w:rFonts w:cs="Arial"/>
          <w:sz w:val="22"/>
          <w:szCs w:val="22"/>
        </w:rPr>
        <w:t>onaler Ebene, zu</w:t>
      </w:r>
      <w:r w:rsidR="00B30F43">
        <w:rPr>
          <w:rFonts w:cs="Arial"/>
          <w:sz w:val="22"/>
          <w:szCs w:val="22"/>
        </w:rPr>
        <w:t xml:space="preserve"> einem Anstieg der Arbeitslosen</w:t>
      </w:r>
      <w:r w:rsidRPr="00B95874">
        <w:rPr>
          <w:rFonts w:cs="Arial"/>
          <w:sz w:val="22"/>
          <w:szCs w:val="22"/>
        </w:rPr>
        <w:t>quote führen kann. Eine weitere Frage ist mit den sozialen Koste</w:t>
      </w:r>
      <w:r w:rsidR="00B30F43">
        <w:rPr>
          <w:rFonts w:cs="Arial"/>
          <w:sz w:val="22"/>
          <w:szCs w:val="22"/>
        </w:rPr>
        <w:t>n des Abwanderungsprozesses ver</w:t>
      </w:r>
      <w:r w:rsidRPr="00B95874">
        <w:rPr>
          <w:rFonts w:cs="Arial"/>
          <w:sz w:val="22"/>
          <w:szCs w:val="22"/>
        </w:rPr>
        <w:t>bunden, und zwar mit den Kosten der Trennung von der Familie, des Zerfalls der Familie sowie der Schwächung der Wachstumsdynamik einiger Regionen, die mit der Schwächung der sozialen Bindungen zusammenhängt. In dem Diskurs, der in den Medien ü</w:t>
      </w:r>
      <w:r w:rsidR="00B30F43">
        <w:rPr>
          <w:rFonts w:cs="Arial"/>
          <w:sz w:val="22"/>
          <w:szCs w:val="22"/>
        </w:rPr>
        <w:t>ber die Folgen der Migration ge</w:t>
      </w:r>
      <w:r w:rsidRPr="00B95874">
        <w:rPr>
          <w:rFonts w:cs="Arial"/>
          <w:sz w:val="22"/>
          <w:szCs w:val="22"/>
        </w:rPr>
        <w:t>führt wird, ist in</w:t>
      </w:r>
      <w:r w:rsidR="00B30F43">
        <w:rPr>
          <w:rFonts w:cs="Arial"/>
          <w:sz w:val="22"/>
          <w:szCs w:val="22"/>
        </w:rPr>
        <w:t xml:space="preserve"> den letzten Jahren der neue Be</w:t>
      </w:r>
      <w:r w:rsidRPr="00B95874">
        <w:rPr>
          <w:rFonts w:cs="Arial"/>
          <w:sz w:val="22"/>
          <w:szCs w:val="22"/>
        </w:rPr>
        <w:t xml:space="preserve">griff </w:t>
      </w:r>
      <w:r w:rsidR="001B3F46" w:rsidRPr="00B95874">
        <w:rPr>
          <w:rFonts w:cs="Arial"/>
          <w:sz w:val="22"/>
          <w:szCs w:val="22"/>
        </w:rPr>
        <w:t>„</w:t>
      </w:r>
      <w:r w:rsidRPr="00B95874">
        <w:rPr>
          <w:rFonts w:cs="Arial"/>
          <w:sz w:val="22"/>
          <w:szCs w:val="22"/>
        </w:rPr>
        <w:t>Euro-Waisen</w:t>
      </w:r>
      <w:r w:rsidR="001B3F46" w:rsidRPr="00B95874">
        <w:rPr>
          <w:rFonts w:cs="Arial"/>
          <w:sz w:val="22"/>
          <w:szCs w:val="22"/>
        </w:rPr>
        <w:t>“</w:t>
      </w:r>
      <w:r w:rsidRPr="00B95874">
        <w:rPr>
          <w:rFonts w:cs="Arial"/>
          <w:sz w:val="22"/>
          <w:szCs w:val="22"/>
        </w:rPr>
        <w:t xml:space="preserve"> entstanden. Dabei geht es um Kinder, die in Kinderheime gegeben wurden, weil die Eltern oder ein Elternteil zum Arbeiten ins Ausland gegangen sind. Die Medien berufen sich auf Daten, nach denen es schon 150</w:t>
      </w:r>
      <w:r w:rsidR="00970FE2" w:rsidRPr="00B95874">
        <w:rPr>
          <w:rFonts w:cs="Arial"/>
          <w:sz w:val="22"/>
          <w:szCs w:val="22"/>
        </w:rPr>
        <w:t>.</w:t>
      </w:r>
      <w:r w:rsidRPr="00B95874">
        <w:rPr>
          <w:rFonts w:cs="Arial"/>
          <w:sz w:val="22"/>
          <w:szCs w:val="22"/>
        </w:rPr>
        <w:t>000 soge</w:t>
      </w:r>
      <w:r w:rsidRPr="00B95874">
        <w:rPr>
          <w:rFonts w:cs="Arial"/>
          <w:sz w:val="22"/>
          <w:szCs w:val="22"/>
        </w:rPr>
        <w:softHyphen/>
        <w:t xml:space="preserve">nannter </w:t>
      </w:r>
      <w:r w:rsidR="001B3F46" w:rsidRPr="00B95874">
        <w:rPr>
          <w:rFonts w:cs="Arial"/>
          <w:sz w:val="22"/>
          <w:szCs w:val="22"/>
        </w:rPr>
        <w:t>„</w:t>
      </w:r>
      <w:r w:rsidRPr="00B95874">
        <w:rPr>
          <w:rFonts w:cs="Arial"/>
          <w:sz w:val="22"/>
          <w:szCs w:val="22"/>
        </w:rPr>
        <w:t>Euro-Waisen</w:t>
      </w:r>
      <w:r w:rsidR="001B3F46" w:rsidRPr="00B95874">
        <w:rPr>
          <w:rFonts w:cs="Arial"/>
          <w:sz w:val="22"/>
          <w:szCs w:val="22"/>
        </w:rPr>
        <w:t>“</w:t>
      </w:r>
      <w:r w:rsidRPr="00B95874">
        <w:rPr>
          <w:rFonts w:cs="Arial"/>
          <w:sz w:val="22"/>
          <w:szCs w:val="22"/>
        </w:rPr>
        <w:t xml:space="preserve"> in Polen gibt, aber aufrund der Unmöglichkeit einer verlässlichen Schätzung ist diese Zahl meines Erachtens mit großer Vorsicht zu behandeln. Eine Studie, die vom Büro des Beauftragten für Kinderrechte im Februar/März 2008 in Auftrag gegeben wurde, hat ergeben, dass die Zahl sich auf weitaus nie</w:t>
      </w:r>
      <w:r w:rsidR="00B30F43">
        <w:rPr>
          <w:rFonts w:cs="Arial"/>
          <w:sz w:val="22"/>
          <w:szCs w:val="22"/>
        </w:rPr>
        <w:t>dri</w:t>
      </w:r>
      <w:r w:rsidRPr="00B95874">
        <w:rPr>
          <w:rFonts w:cs="Arial"/>
          <w:sz w:val="22"/>
          <w:szCs w:val="22"/>
        </w:rPr>
        <w:t>gerem Niveau bewegen und bei 10</w:t>
      </w:r>
      <w:r w:rsidR="00970FE2" w:rsidRPr="00B95874">
        <w:rPr>
          <w:rFonts w:cs="Arial"/>
          <w:sz w:val="22"/>
          <w:szCs w:val="22"/>
        </w:rPr>
        <w:t>.</w:t>
      </w:r>
      <w:r w:rsidRPr="00B95874">
        <w:rPr>
          <w:rFonts w:cs="Arial"/>
          <w:sz w:val="22"/>
          <w:szCs w:val="22"/>
        </w:rPr>
        <w:t>000 bis 15</w:t>
      </w:r>
      <w:r w:rsidR="00970FE2" w:rsidRPr="00B95874">
        <w:rPr>
          <w:rFonts w:cs="Arial"/>
          <w:sz w:val="22"/>
          <w:szCs w:val="22"/>
        </w:rPr>
        <w:t>.</w:t>
      </w:r>
      <w:r w:rsidRPr="00B95874">
        <w:rPr>
          <w:rFonts w:cs="Arial"/>
          <w:sz w:val="22"/>
          <w:szCs w:val="22"/>
        </w:rPr>
        <w:t>000 Schülern liegen kann, was aber ebenfalls Anlass zur Beunruhigung gibt.</w:t>
      </w:r>
    </w:p>
    <w:p w:rsidR="003A2FC6" w:rsidRPr="00C362CB" w:rsidRDefault="003A2FC6" w:rsidP="00673687">
      <w:pPr>
        <w:pStyle w:val="1Standardflietext"/>
        <w:spacing w:line="240" w:lineRule="auto"/>
        <w:jc w:val="both"/>
        <w:rPr>
          <w:rFonts w:cs="Arial"/>
          <w:i/>
          <w:color w:val="000000"/>
          <w:szCs w:val="22"/>
        </w:rPr>
      </w:pPr>
      <w:r w:rsidRPr="00C362CB">
        <w:rPr>
          <w:rFonts w:cs="Arial"/>
          <w:i/>
          <w:iCs/>
          <w:color w:val="000000"/>
          <w:szCs w:val="22"/>
        </w:rPr>
        <w:t>Aus: Krystyna Iglicka: Kosten- und Nutzen-Bilanz der neuesten Arbeitsmigration</w:t>
      </w:r>
      <w:r w:rsidR="00B30F43" w:rsidRPr="00C362CB">
        <w:rPr>
          <w:rFonts w:cs="Arial"/>
          <w:i/>
          <w:iCs/>
          <w:color w:val="000000"/>
          <w:szCs w:val="22"/>
        </w:rPr>
        <w:t>swelle aus Polen und die Auswir</w:t>
      </w:r>
      <w:r w:rsidRPr="00C362CB">
        <w:rPr>
          <w:rFonts w:cs="Arial"/>
          <w:i/>
          <w:iCs/>
          <w:color w:val="000000"/>
          <w:szCs w:val="22"/>
        </w:rPr>
        <w:t>kungen dieser Abwanderung. In: Deutsches Polen-Institut (Hrsg.): Jahrbuch Polen 2010 Migration. Wiesbaden: Harrassowitz, S. 82 (bearb.). Übers. von Dörte Lütvogt</w:t>
      </w:r>
      <w:r w:rsidR="00B30F43" w:rsidRPr="00C362CB">
        <w:rPr>
          <w:rFonts w:cs="Arial"/>
          <w:i/>
          <w:iCs/>
          <w:color w:val="000000"/>
          <w:szCs w:val="22"/>
        </w:rPr>
        <w:t>.</w:t>
      </w:r>
    </w:p>
    <w:p w:rsidR="003A2FC6" w:rsidRPr="00B95874" w:rsidRDefault="003A2FC6" w:rsidP="00673687">
      <w:pPr>
        <w:pStyle w:val="0berschrift3"/>
        <w:jc w:val="both"/>
        <w:rPr>
          <w:rFonts w:cs="Arial"/>
          <w:sz w:val="22"/>
          <w:szCs w:val="22"/>
        </w:rPr>
      </w:pPr>
    </w:p>
    <w:p w:rsidR="003A2FC6" w:rsidRDefault="003A2FC6" w:rsidP="00673687">
      <w:pPr>
        <w:pStyle w:val="1Standardflietext"/>
        <w:jc w:val="both"/>
        <w:rPr>
          <w:rStyle w:val="1kursiv"/>
          <w:rFonts w:cs="Arial"/>
          <w:sz w:val="22"/>
          <w:szCs w:val="22"/>
        </w:rPr>
      </w:pPr>
      <w:r w:rsidRPr="00B95874">
        <w:rPr>
          <w:rStyle w:val="1kursiv"/>
          <w:rFonts w:cs="Arial"/>
          <w:sz w:val="22"/>
          <w:szCs w:val="22"/>
        </w:rPr>
        <w:t>1. Könnten Sie sich vorstellen, in ein anderes Land auszuwandern? Welche positiven und negativen Folgen (ökonomisch, sozial</w:t>
      </w:r>
      <w:r w:rsidR="00B95874" w:rsidRPr="00B95874">
        <w:rPr>
          <w:rStyle w:val="1kursiv"/>
          <w:rFonts w:cs="Arial"/>
          <w:sz w:val="22"/>
          <w:szCs w:val="22"/>
        </w:rPr>
        <w:t xml:space="preserve"> u.a.) </w:t>
      </w:r>
      <w:r w:rsidRPr="00B95874">
        <w:rPr>
          <w:rStyle w:val="1kursiv"/>
          <w:rFonts w:cs="Arial"/>
          <w:sz w:val="22"/>
          <w:szCs w:val="22"/>
        </w:rPr>
        <w:t>hätte das für Sie? Tragen Sie Ihre Überlegungen in folgende Liste ein und berücksichtigen Sie dabei auch die Argumente obenstehender Quelle.</w:t>
      </w:r>
    </w:p>
    <w:p w:rsidR="00B30F43" w:rsidRPr="00B95874" w:rsidRDefault="00B30F43" w:rsidP="00673687">
      <w:pPr>
        <w:pStyle w:val="1Standardflietext"/>
        <w:jc w:val="both"/>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08"/>
        <w:gridCol w:w="3108"/>
      </w:tblGrid>
      <w:tr w:rsidR="003A2FC6" w:rsidRPr="00B95874" w:rsidTr="005918A0">
        <w:tc>
          <w:tcPr>
            <w:tcW w:w="3108" w:type="dxa"/>
            <w:shd w:val="clear" w:color="auto" w:fill="auto"/>
          </w:tcPr>
          <w:p w:rsidR="003A2FC6" w:rsidRPr="00B95874" w:rsidRDefault="003A2FC6" w:rsidP="00673687">
            <w:pPr>
              <w:pStyle w:val="1Standardflietext"/>
              <w:jc w:val="both"/>
              <w:rPr>
                <w:rFonts w:cs="Arial"/>
                <w:sz w:val="22"/>
                <w:szCs w:val="22"/>
              </w:rPr>
            </w:pPr>
            <w:r w:rsidRPr="00B95874">
              <w:rPr>
                <w:rFonts w:cs="Arial"/>
                <w:sz w:val="22"/>
                <w:szCs w:val="22"/>
              </w:rPr>
              <w:t>Positiv</w:t>
            </w:r>
          </w:p>
        </w:tc>
        <w:tc>
          <w:tcPr>
            <w:tcW w:w="3108" w:type="dxa"/>
            <w:shd w:val="clear" w:color="auto" w:fill="auto"/>
          </w:tcPr>
          <w:p w:rsidR="003A2FC6" w:rsidRPr="00B95874" w:rsidRDefault="003A2FC6" w:rsidP="00673687">
            <w:pPr>
              <w:pStyle w:val="1Standardflietext"/>
              <w:jc w:val="both"/>
              <w:rPr>
                <w:rFonts w:cs="Arial"/>
                <w:sz w:val="22"/>
                <w:szCs w:val="22"/>
              </w:rPr>
            </w:pPr>
            <w:r w:rsidRPr="00B95874">
              <w:rPr>
                <w:rFonts w:cs="Arial"/>
                <w:sz w:val="22"/>
                <w:szCs w:val="22"/>
              </w:rPr>
              <w:t>Negativ</w:t>
            </w:r>
          </w:p>
        </w:tc>
        <w:tc>
          <w:tcPr>
            <w:tcW w:w="3108" w:type="dxa"/>
            <w:shd w:val="clear" w:color="auto" w:fill="auto"/>
          </w:tcPr>
          <w:p w:rsidR="003A2FC6" w:rsidRPr="00B95874" w:rsidRDefault="003A2FC6" w:rsidP="00673687">
            <w:pPr>
              <w:pStyle w:val="1Standardflietext"/>
              <w:jc w:val="both"/>
              <w:rPr>
                <w:rFonts w:cs="Arial"/>
                <w:sz w:val="22"/>
                <w:szCs w:val="22"/>
              </w:rPr>
            </w:pPr>
            <w:r w:rsidRPr="00B95874">
              <w:rPr>
                <w:rFonts w:cs="Arial"/>
                <w:sz w:val="22"/>
                <w:szCs w:val="22"/>
              </w:rPr>
              <w:t>Risiken</w:t>
            </w:r>
          </w:p>
        </w:tc>
      </w:tr>
      <w:tr w:rsidR="003A2FC6" w:rsidRPr="00B95874" w:rsidTr="005918A0">
        <w:tc>
          <w:tcPr>
            <w:tcW w:w="3108" w:type="dxa"/>
            <w:shd w:val="clear" w:color="auto" w:fill="auto"/>
          </w:tcPr>
          <w:p w:rsidR="003A2FC6" w:rsidRPr="00B95874" w:rsidRDefault="003A2FC6" w:rsidP="00673687">
            <w:pPr>
              <w:pStyle w:val="1Standardflietext"/>
              <w:jc w:val="both"/>
              <w:rPr>
                <w:rFonts w:cs="Arial"/>
                <w:sz w:val="22"/>
                <w:szCs w:val="22"/>
              </w:rPr>
            </w:pPr>
          </w:p>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r>
      <w:tr w:rsidR="003A2FC6" w:rsidRPr="00B95874" w:rsidTr="005918A0">
        <w:tc>
          <w:tcPr>
            <w:tcW w:w="3108" w:type="dxa"/>
            <w:shd w:val="clear" w:color="auto" w:fill="auto"/>
          </w:tcPr>
          <w:p w:rsidR="003A2FC6" w:rsidRPr="00B95874" w:rsidRDefault="003A2FC6" w:rsidP="00673687">
            <w:pPr>
              <w:pStyle w:val="1Standardflietext"/>
              <w:jc w:val="both"/>
              <w:rPr>
                <w:rFonts w:cs="Arial"/>
                <w:sz w:val="22"/>
                <w:szCs w:val="22"/>
              </w:rPr>
            </w:pPr>
          </w:p>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r>
      <w:tr w:rsidR="003A2FC6" w:rsidRPr="00B95874" w:rsidTr="005918A0">
        <w:tc>
          <w:tcPr>
            <w:tcW w:w="3108" w:type="dxa"/>
            <w:shd w:val="clear" w:color="auto" w:fill="auto"/>
          </w:tcPr>
          <w:p w:rsidR="003A2FC6" w:rsidRPr="00B95874" w:rsidRDefault="003A2FC6" w:rsidP="00673687">
            <w:pPr>
              <w:pStyle w:val="1Standardflietext"/>
              <w:jc w:val="both"/>
              <w:rPr>
                <w:rFonts w:cs="Arial"/>
                <w:sz w:val="22"/>
                <w:szCs w:val="22"/>
              </w:rPr>
            </w:pPr>
          </w:p>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r>
      <w:tr w:rsidR="003A2FC6" w:rsidRPr="00B95874" w:rsidTr="005918A0">
        <w:tc>
          <w:tcPr>
            <w:tcW w:w="3108" w:type="dxa"/>
            <w:shd w:val="clear" w:color="auto" w:fill="auto"/>
          </w:tcPr>
          <w:p w:rsidR="003A2FC6" w:rsidRPr="00B95874" w:rsidRDefault="003A2FC6" w:rsidP="00673687">
            <w:pPr>
              <w:pStyle w:val="1Standardflietext"/>
              <w:jc w:val="both"/>
              <w:rPr>
                <w:rFonts w:cs="Arial"/>
                <w:sz w:val="22"/>
                <w:szCs w:val="22"/>
              </w:rPr>
            </w:pPr>
          </w:p>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c>
          <w:tcPr>
            <w:tcW w:w="3108" w:type="dxa"/>
            <w:shd w:val="clear" w:color="auto" w:fill="auto"/>
          </w:tcPr>
          <w:p w:rsidR="003A2FC6" w:rsidRPr="00B95874" w:rsidRDefault="003A2FC6" w:rsidP="00673687">
            <w:pPr>
              <w:pStyle w:val="1Standardflietext"/>
              <w:jc w:val="both"/>
              <w:rPr>
                <w:rFonts w:cs="Arial"/>
                <w:sz w:val="22"/>
                <w:szCs w:val="22"/>
              </w:rPr>
            </w:pPr>
          </w:p>
        </w:tc>
      </w:tr>
    </w:tbl>
    <w:p w:rsidR="003A2FC6" w:rsidRPr="00B95874" w:rsidRDefault="003A2FC6" w:rsidP="00673687">
      <w:pPr>
        <w:pStyle w:val="1Standardflietext"/>
        <w:jc w:val="both"/>
        <w:rPr>
          <w:rFonts w:cs="Arial"/>
          <w:sz w:val="22"/>
          <w:szCs w:val="22"/>
        </w:rPr>
      </w:pPr>
    </w:p>
    <w:p w:rsidR="00405080" w:rsidRDefault="003A2FC6" w:rsidP="00673687">
      <w:pPr>
        <w:pStyle w:val="0berschrift3"/>
        <w:jc w:val="both"/>
        <w:rPr>
          <w:rFonts w:cs="Arial"/>
          <w:b w:val="0"/>
          <w:i/>
          <w:sz w:val="22"/>
          <w:szCs w:val="22"/>
        </w:rPr>
      </w:pPr>
      <w:r w:rsidRPr="00405080">
        <w:rPr>
          <w:rFonts w:cs="Arial"/>
          <w:b w:val="0"/>
          <w:i/>
          <w:sz w:val="22"/>
          <w:szCs w:val="22"/>
        </w:rPr>
        <w:t>2. Diskutieren Sie in der Klasse, welche nationalen Kriterien Sie als Voraussetzung für die Anerkennung einer Minderheit in Deutschland</w:t>
      </w:r>
      <w:r w:rsidR="00970FE2" w:rsidRPr="00405080">
        <w:rPr>
          <w:rFonts w:cs="Arial"/>
          <w:b w:val="0"/>
          <w:i/>
          <w:sz w:val="22"/>
          <w:szCs w:val="22"/>
        </w:rPr>
        <w:t xml:space="preserve"> zur Grundlage machen würden</w:t>
      </w:r>
      <w:r w:rsidRPr="00405080">
        <w:rPr>
          <w:rFonts w:cs="Arial"/>
          <w:b w:val="0"/>
          <w:i/>
          <w:sz w:val="22"/>
          <w:szCs w:val="22"/>
        </w:rPr>
        <w:t xml:space="preserve">. Vergleichen Sie </w:t>
      </w:r>
      <w:r w:rsidR="00970FE2" w:rsidRPr="00405080">
        <w:rPr>
          <w:rFonts w:cs="Arial"/>
          <w:b w:val="0"/>
          <w:i/>
          <w:sz w:val="22"/>
          <w:szCs w:val="22"/>
        </w:rPr>
        <w:t>I</w:t>
      </w:r>
      <w:r w:rsidRPr="00405080">
        <w:rPr>
          <w:rFonts w:cs="Arial"/>
          <w:b w:val="0"/>
          <w:i/>
          <w:sz w:val="22"/>
          <w:szCs w:val="22"/>
        </w:rPr>
        <w:t>hre Ergebnisse mit den offiziellen Kriterien der Bundesrepublik Deutschland (</w:t>
      </w:r>
      <w:r w:rsidR="00405080">
        <w:rPr>
          <w:rFonts w:cs="Arial"/>
          <w:b w:val="0"/>
          <w:i/>
          <w:sz w:val="22"/>
          <w:szCs w:val="22"/>
        </w:rPr>
        <w:t xml:space="preserve">z.B. S.1-2 von </w:t>
      </w:r>
      <w:hyperlink r:id="rId7" w:history="1">
        <w:r w:rsidRPr="00405080">
          <w:rPr>
            <w:rFonts w:cs="Arial"/>
            <w:b w:val="0"/>
            <w:i/>
            <w:color w:val="0000FF"/>
            <w:sz w:val="22"/>
            <w:szCs w:val="22"/>
            <w:u w:val="single"/>
          </w:rPr>
          <w:t>http://dip21.bundestag.de/dip21/btd/14/040/1404045.pdf</w:t>
        </w:r>
      </w:hyperlink>
      <w:r w:rsidR="00405080">
        <w:rPr>
          <w:rFonts w:cs="Arial"/>
          <w:b w:val="0"/>
          <w:i/>
          <w:color w:val="0000FF"/>
          <w:sz w:val="22"/>
          <w:szCs w:val="22"/>
          <w:u w:val="single"/>
        </w:rPr>
        <w:t xml:space="preserve"> </w:t>
      </w:r>
      <w:r w:rsidR="000D242E" w:rsidRPr="00405080">
        <w:rPr>
          <w:rFonts w:cs="Arial"/>
          <w:b w:val="0"/>
          <w:i/>
          <w:sz w:val="22"/>
          <w:szCs w:val="22"/>
        </w:rPr>
        <w:t>)</w:t>
      </w:r>
      <w:r w:rsidR="00474115" w:rsidRPr="00405080">
        <w:rPr>
          <w:rFonts w:cs="Arial"/>
          <w:b w:val="0"/>
          <w:i/>
          <w:sz w:val="22"/>
          <w:szCs w:val="22"/>
        </w:rPr>
        <w:t xml:space="preserve"> (11.2.2014)</w:t>
      </w:r>
      <w:r w:rsidR="00B95874" w:rsidRPr="00405080">
        <w:rPr>
          <w:rFonts w:cs="Arial"/>
          <w:b w:val="0"/>
          <w:i/>
          <w:sz w:val="22"/>
          <w:szCs w:val="22"/>
        </w:rPr>
        <w:t>.</w:t>
      </w:r>
    </w:p>
    <w:sectPr w:rsidR="00405080"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A4" w:rsidRDefault="00230AA4">
      <w:r>
        <w:separator/>
      </w:r>
    </w:p>
    <w:p w:rsidR="00230AA4" w:rsidRDefault="00230AA4"/>
    <w:p w:rsidR="00230AA4" w:rsidRDefault="00230AA4"/>
    <w:p w:rsidR="00230AA4" w:rsidRDefault="00230AA4"/>
    <w:p w:rsidR="00230AA4" w:rsidRDefault="00230AA4"/>
    <w:p w:rsidR="00230AA4" w:rsidRDefault="00230AA4"/>
    <w:p w:rsidR="00230AA4" w:rsidRDefault="00230AA4"/>
    <w:p w:rsidR="00230AA4" w:rsidRDefault="00230AA4"/>
  </w:endnote>
  <w:endnote w:type="continuationSeparator" w:id="0">
    <w:p w:rsidR="00230AA4" w:rsidRDefault="00230AA4">
      <w:r>
        <w:continuationSeparator/>
      </w:r>
    </w:p>
    <w:p w:rsidR="00230AA4" w:rsidRDefault="00230AA4"/>
    <w:p w:rsidR="00230AA4" w:rsidRDefault="00230AA4"/>
    <w:p w:rsidR="00230AA4" w:rsidRDefault="00230AA4"/>
    <w:p w:rsidR="00230AA4" w:rsidRDefault="00230AA4"/>
    <w:p w:rsidR="00230AA4" w:rsidRDefault="00230AA4"/>
    <w:p w:rsidR="00230AA4" w:rsidRDefault="00230AA4"/>
    <w:p w:rsidR="00230AA4" w:rsidRDefault="00230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8C5EA8" w:rsidP="009F1273">
                            <w:pPr>
                              <w:spacing w:after="0"/>
                              <w:rPr>
                                <w:rFonts w:ascii="Times New Roman" w:hAnsi="Times New Roman"/>
                                <w:sz w:val="16"/>
                                <w:szCs w:val="16"/>
                              </w:rPr>
                            </w:pPr>
                            <w:r w:rsidRPr="00BD4858">
                              <w:rPr>
                                <w:rFonts w:ascii="Times New Roman" w:hAnsi="Times New Roman"/>
                                <w:noProof/>
                                <w:sz w:val="16"/>
                                <w:szCs w:val="16"/>
                              </w:rPr>
                              <w:drawing>
                                <wp:inline distT="0" distB="0" distL="0" distR="0">
                                  <wp:extent cx="1240155" cy="532765"/>
                                  <wp:effectExtent l="0" t="0" r="0" b="0"/>
                                  <wp:docPr id="1" name="Grafik 10"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32765"/>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D485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D485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A4" w:rsidRDefault="00230AA4">
      <w:r>
        <w:separator/>
      </w:r>
    </w:p>
    <w:p w:rsidR="00230AA4" w:rsidRDefault="00230AA4"/>
    <w:p w:rsidR="00230AA4" w:rsidRDefault="00230AA4"/>
    <w:p w:rsidR="00230AA4" w:rsidRDefault="00230AA4"/>
    <w:p w:rsidR="00230AA4" w:rsidRDefault="00230AA4"/>
    <w:p w:rsidR="00230AA4" w:rsidRDefault="00230AA4"/>
    <w:p w:rsidR="00230AA4" w:rsidRDefault="00230AA4"/>
    <w:p w:rsidR="00230AA4" w:rsidRDefault="00230AA4"/>
  </w:footnote>
  <w:footnote w:type="continuationSeparator" w:id="0">
    <w:p w:rsidR="00230AA4" w:rsidRDefault="00230AA4">
      <w:r>
        <w:continuationSeparator/>
      </w:r>
    </w:p>
    <w:p w:rsidR="00230AA4" w:rsidRDefault="00230AA4"/>
    <w:p w:rsidR="00230AA4" w:rsidRDefault="00230AA4"/>
    <w:p w:rsidR="00230AA4" w:rsidRDefault="00230AA4"/>
    <w:p w:rsidR="00230AA4" w:rsidRDefault="00230AA4"/>
    <w:p w:rsidR="00230AA4" w:rsidRDefault="00230AA4"/>
    <w:p w:rsidR="00230AA4" w:rsidRDefault="00230AA4"/>
    <w:p w:rsidR="00230AA4" w:rsidRDefault="00230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sidR="008C5EA8">
            <w:rPr>
              <w:noProof/>
            </w:rPr>
            <mc:AlternateContent>
              <mc:Choice Requires="wps">
                <w:drawing>
                  <wp:anchor distT="0" distB="0" distL="114300" distR="114300" simplePos="0" relativeHeight="251657728"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0AA4"/>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374C5"/>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3984"/>
    <w:rsid w:val="00464BA1"/>
    <w:rsid w:val="00466BA5"/>
    <w:rsid w:val="00473918"/>
    <w:rsid w:val="00474115"/>
    <w:rsid w:val="00474204"/>
    <w:rsid w:val="00477C69"/>
    <w:rsid w:val="00483551"/>
    <w:rsid w:val="00483BE4"/>
    <w:rsid w:val="00483EFD"/>
    <w:rsid w:val="00485666"/>
    <w:rsid w:val="004904AF"/>
    <w:rsid w:val="0049242E"/>
    <w:rsid w:val="00495876"/>
    <w:rsid w:val="00496EA9"/>
    <w:rsid w:val="004A5632"/>
    <w:rsid w:val="004B02E4"/>
    <w:rsid w:val="004B2857"/>
    <w:rsid w:val="004B56B9"/>
    <w:rsid w:val="004B7716"/>
    <w:rsid w:val="004C68A6"/>
    <w:rsid w:val="004D4E71"/>
    <w:rsid w:val="004D510D"/>
    <w:rsid w:val="004E0620"/>
    <w:rsid w:val="004E39F4"/>
    <w:rsid w:val="004E412C"/>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F92"/>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5EA8"/>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1C5B"/>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4858"/>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CE6"/>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B4729"/>
    <w:rsid w:val="00CC3FFC"/>
    <w:rsid w:val="00CD1001"/>
    <w:rsid w:val="00CD5F8B"/>
    <w:rsid w:val="00CE0B7A"/>
    <w:rsid w:val="00CE17C7"/>
    <w:rsid w:val="00CE1EAE"/>
    <w:rsid w:val="00CE2F87"/>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908F4"/>
    <w:rsid w:val="00E96370"/>
    <w:rsid w:val="00E976F1"/>
    <w:rsid w:val="00EA1F7B"/>
    <w:rsid w:val="00EA2D1D"/>
    <w:rsid w:val="00EC2A6E"/>
    <w:rsid w:val="00EC6126"/>
    <w:rsid w:val="00ED3765"/>
    <w:rsid w:val="00ED76B7"/>
    <w:rsid w:val="00EE1668"/>
    <w:rsid w:val="00EE42D0"/>
    <w:rsid w:val="00EE4AFB"/>
    <w:rsid w:val="00EE58C3"/>
    <w:rsid w:val="00EF5778"/>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3E15"/>
    <w:rsid w:val="00F675A1"/>
    <w:rsid w:val="00F73E64"/>
    <w:rsid w:val="00F801FA"/>
    <w:rsid w:val="00F8127B"/>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E2F3D3AC-6428-442F-9D64-2185A546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21.bundestag.de/dip21/btd/14/040/140404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3269</CharactersWithSpaces>
  <SharedDoc>false</SharedDoc>
  <HyperlinkBase>www.cornelsen.de/teachweb</HyperlinkBase>
  <HLinks>
    <vt:vector size="6" baseType="variant">
      <vt:variant>
        <vt:i4>3539052</vt:i4>
      </vt:variant>
      <vt:variant>
        <vt:i4>0</vt:i4>
      </vt:variant>
      <vt:variant>
        <vt:i4>0</vt:i4>
      </vt:variant>
      <vt:variant>
        <vt:i4>5</vt:i4>
      </vt:variant>
      <vt:variant>
        <vt:lpwstr>http://dip21.bundestag.de/dip21/btd/14/040/1404045.pdf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2014-03-12T14:37:00Z</cp:lastPrinted>
  <dcterms:created xsi:type="dcterms:W3CDTF">2021-02-13T10:31:00Z</dcterms:created>
  <dcterms:modified xsi:type="dcterms:W3CDTF">2021-02-13T10:31:00Z</dcterms:modified>
  <cp:category>Aktualitätendienst Politik</cp:category>
</cp:coreProperties>
</file>