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DE28A" w14:textId="11987CB3" w:rsidR="00E76D86" w:rsidRPr="00420626" w:rsidRDefault="00FC0568" w:rsidP="00A77460">
      <w:pPr>
        <w:rPr>
          <w:rFonts w:ascii="Arial" w:hAnsi="Arial" w:cs="Arial"/>
          <w:b/>
          <w:bCs/>
          <w:lang w:val="de-DE"/>
        </w:rPr>
      </w:pPr>
      <w:r w:rsidRPr="00420626">
        <w:rPr>
          <w:rFonts w:ascii="Arial" w:hAnsi="Arial" w:cs="Arial"/>
          <w:b/>
          <w:bCs/>
          <w:lang w:val="de-DE"/>
        </w:rPr>
        <w:t xml:space="preserve">Polen </w:t>
      </w:r>
      <w:r w:rsidR="00AE5939" w:rsidRPr="00420626">
        <w:rPr>
          <w:rFonts w:ascii="Arial" w:hAnsi="Arial" w:cs="Arial"/>
          <w:b/>
          <w:bCs/>
          <w:lang w:val="de-DE"/>
        </w:rPr>
        <w:t xml:space="preserve">und die </w:t>
      </w:r>
      <w:r w:rsidRPr="00420626">
        <w:rPr>
          <w:rFonts w:ascii="Arial" w:hAnsi="Arial" w:cs="Arial"/>
          <w:b/>
          <w:bCs/>
          <w:lang w:val="de-DE"/>
        </w:rPr>
        <w:t>Europäische Union</w:t>
      </w:r>
    </w:p>
    <w:p w14:paraId="7DEE3F49" w14:textId="455DD9EB" w:rsidR="00E76D86" w:rsidRPr="004D3606" w:rsidRDefault="00E76D86" w:rsidP="00A77460">
      <w:pPr>
        <w:rPr>
          <w:rFonts w:ascii="Arial" w:hAnsi="Arial" w:cs="Arial"/>
          <w:u w:val="single"/>
          <w:lang w:val="de-DE"/>
        </w:rPr>
      </w:pPr>
      <w:r w:rsidRPr="004D3606">
        <w:rPr>
          <w:rFonts w:ascii="Arial" w:hAnsi="Arial" w:cs="Arial"/>
          <w:u w:val="single"/>
          <w:lang w:val="de-DE"/>
        </w:rPr>
        <w:t>Vorgeschichte</w:t>
      </w:r>
    </w:p>
    <w:p w14:paraId="44689DA0" w14:textId="750170F6" w:rsidR="00E76D86" w:rsidRPr="004D3606" w:rsidRDefault="004A368D" w:rsidP="000A19BD">
      <w:pPr>
        <w:pStyle w:val="1Standardflietext"/>
        <w:spacing w:line="240" w:lineRule="auto"/>
        <w:jc w:val="both"/>
      </w:pPr>
      <w:r w:rsidRPr="00420626">
        <w:t xml:space="preserve">Polens </w:t>
      </w:r>
      <w:r w:rsidR="00005066" w:rsidRPr="00420626">
        <w:t>Verbindung</w:t>
      </w:r>
      <w:r w:rsidR="00FF3BB0" w:rsidRPr="00420626">
        <w:t>en</w:t>
      </w:r>
      <w:r w:rsidR="00005066" w:rsidRPr="00420626">
        <w:t xml:space="preserve"> zu Europa </w:t>
      </w:r>
      <w:r w:rsidR="00FF3BB0" w:rsidRPr="00420626">
        <w:t xml:space="preserve">spielten schon </w:t>
      </w:r>
      <w:r w:rsidR="00BE48A6">
        <w:t xml:space="preserve">lange Zeit </w:t>
      </w:r>
      <w:r w:rsidR="00FF3BB0" w:rsidRPr="00420626">
        <w:t>vor</w:t>
      </w:r>
      <w:r w:rsidRPr="00420626">
        <w:t xml:space="preserve"> de</w:t>
      </w:r>
      <w:r w:rsidR="00FF3BB0" w:rsidRPr="00420626">
        <w:t>m</w:t>
      </w:r>
      <w:r w:rsidRPr="00420626">
        <w:t xml:space="preserve"> EU-Beitritt im Jahre 2004 </w:t>
      </w:r>
      <w:r w:rsidR="00FF3BB0" w:rsidRPr="00420626">
        <w:t>eine Rolle, denn s</w:t>
      </w:r>
      <w:r w:rsidR="00260386" w:rsidRPr="00420626">
        <w:t xml:space="preserve">chon </w:t>
      </w:r>
      <w:r w:rsidR="00446FC0" w:rsidRPr="00420626">
        <w:t>Mitte des</w:t>
      </w:r>
      <w:r w:rsidR="00260386" w:rsidRPr="00420626">
        <w:t xml:space="preserve"> 10. Jahrhundert</w:t>
      </w:r>
      <w:r w:rsidR="00446FC0" w:rsidRPr="00420626">
        <w:t>s</w:t>
      </w:r>
      <w:r w:rsidR="00260386" w:rsidRPr="00420626">
        <w:t xml:space="preserve"> erlangte Polen große Bedeutung</w:t>
      </w:r>
      <w:r w:rsidR="00CB6CAD">
        <w:t xml:space="preserve"> </w:t>
      </w:r>
      <w:r w:rsidR="00E76D86" w:rsidRPr="00420626">
        <w:t>für den Kontinent</w:t>
      </w:r>
      <w:r w:rsidR="00260386" w:rsidRPr="00420626">
        <w:t xml:space="preserve">. </w:t>
      </w:r>
      <w:r w:rsidR="00AD340D" w:rsidRPr="00420626">
        <w:t>Im Jahre 966 ließ</w:t>
      </w:r>
      <w:r w:rsidR="00F875C7" w:rsidRPr="00420626">
        <w:t xml:space="preserve"> sich Herzog Mieszko I. taufen, woraufhin viele Untertanen i</w:t>
      </w:r>
      <w:r w:rsidR="00AD340D" w:rsidRPr="00420626">
        <w:t>h</w:t>
      </w:r>
      <w:r w:rsidR="00F875C7" w:rsidRPr="00420626">
        <w:t xml:space="preserve">m folgten. Dieses Ereignis wird als Christianisierung Polens angesehen und stellt Polens Eintritt in die Geschichte </w:t>
      </w:r>
      <w:r w:rsidR="00AD340D" w:rsidRPr="00420626">
        <w:t xml:space="preserve">Europas </w:t>
      </w:r>
      <w:r w:rsidR="00F875C7" w:rsidRPr="00420626">
        <w:t>dar.</w:t>
      </w:r>
      <w:r w:rsidR="00866464" w:rsidRPr="00420626">
        <w:t xml:space="preserve"> </w:t>
      </w:r>
      <w:r w:rsidR="000902D0">
        <w:t xml:space="preserve">Nachdem andere Gebiete wie Böhmen und Mähren schon zuvor christlich geworden waren und die Christianisierung der </w:t>
      </w:r>
      <w:proofErr w:type="spellStart"/>
      <w:r w:rsidR="000902D0">
        <w:t>Kiever</w:t>
      </w:r>
      <w:proofErr w:type="spellEnd"/>
      <w:r w:rsidR="000902D0">
        <w:t xml:space="preserve"> Rus‘ etwa gleichzeitig begann, konnte H</w:t>
      </w:r>
      <w:r w:rsidR="009E07ED" w:rsidRPr="00420626">
        <w:t xml:space="preserve">erzog Mieszko </w:t>
      </w:r>
      <w:r w:rsidR="000902D0">
        <w:t xml:space="preserve">seine Herrschaft </w:t>
      </w:r>
      <w:r w:rsidR="009E07ED" w:rsidRPr="00420626">
        <w:t>ausgehend vom Stammesgebiet der sog</w:t>
      </w:r>
      <w:r w:rsidR="006E35EB" w:rsidRPr="00420626">
        <w:t>enannten</w:t>
      </w:r>
      <w:r w:rsidR="009E07ED" w:rsidRPr="00420626">
        <w:t xml:space="preserve"> </w:t>
      </w:r>
      <w:proofErr w:type="spellStart"/>
      <w:r w:rsidR="009E07ED" w:rsidRPr="00420626">
        <w:t>Polanen</w:t>
      </w:r>
      <w:proofErr w:type="spellEnd"/>
      <w:r w:rsidR="009E07ED" w:rsidRPr="00420626">
        <w:t xml:space="preserve"> mit dem Kerngebiet Großpolen </w:t>
      </w:r>
      <w:r w:rsidR="000902D0">
        <w:t>ausweiten</w:t>
      </w:r>
      <w:r w:rsidR="000437EF" w:rsidRPr="00420626">
        <w:t xml:space="preserve">. </w:t>
      </w:r>
      <w:r w:rsidR="000902D0">
        <w:t xml:space="preserve">Sein Sohn und Nachfolger </w:t>
      </w:r>
      <w:r w:rsidR="000437EF" w:rsidRPr="00420626">
        <w:t>Boles</w:t>
      </w:r>
      <w:r w:rsidR="00C11850">
        <w:t>ł</w:t>
      </w:r>
      <w:r w:rsidR="000437EF" w:rsidRPr="00420626">
        <w:t xml:space="preserve">aw I. </w:t>
      </w:r>
      <w:proofErr w:type="spellStart"/>
      <w:r w:rsidR="000437EF" w:rsidRPr="00420626">
        <w:t>Chrobry</w:t>
      </w:r>
      <w:proofErr w:type="spellEnd"/>
      <w:r w:rsidR="000437EF" w:rsidRPr="00420626">
        <w:t xml:space="preserve"> </w:t>
      </w:r>
      <w:r w:rsidR="000902D0">
        <w:t xml:space="preserve">erwarb weitere Gebiete für sein Reich dazu wie Teile </w:t>
      </w:r>
      <w:r w:rsidR="000437EF" w:rsidRPr="00420626">
        <w:t>Pommer</w:t>
      </w:r>
      <w:r w:rsidR="000902D0">
        <w:t>ns</w:t>
      </w:r>
      <w:r w:rsidR="000437EF" w:rsidRPr="00420626">
        <w:t>, Schlesien</w:t>
      </w:r>
      <w:r w:rsidR="000902D0">
        <w:t>s und der Lausitz</w:t>
      </w:r>
      <w:r w:rsidR="009E07ED" w:rsidRPr="00420626">
        <w:t>.</w:t>
      </w:r>
      <w:r w:rsidR="009E07ED" w:rsidRPr="00420626">
        <w:rPr>
          <w:color w:val="FF0000"/>
        </w:rPr>
        <w:t xml:space="preserve"> </w:t>
      </w:r>
      <w:r w:rsidR="000437EF" w:rsidRPr="00420626">
        <w:t xml:space="preserve">Unter </w:t>
      </w:r>
      <w:proofErr w:type="spellStart"/>
      <w:r w:rsidR="000437EF" w:rsidRPr="00420626">
        <w:t>Chrobry</w:t>
      </w:r>
      <w:proofErr w:type="spellEnd"/>
      <w:r w:rsidR="000437EF" w:rsidRPr="00420626">
        <w:t xml:space="preserve"> </w:t>
      </w:r>
      <w:r w:rsidR="00C11850">
        <w:t xml:space="preserve">erhielt </w:t>
      </w:r>
      <w:r w:rsidR="000437EF" w:rsidRPr="00420626">
        <w:t xml:space="preserve">Polen 1025 </w:t>
      </w:r>
      <w:r w:rsidR="00C11850">
        <w:t xml:space="preserve">möglicherweise </w:t>
      </w:r>
      <w:r w:rsidR="000437EF" w:rsidRPr="00420626">
        <w:t xml:space="preserve">den Status eines Königreichs. </w:t>
      </w:r>
      <w:r w:rsidR="008A0F00" w:rsidRPr="00420626">
        <w:t xml:space="preserve">In den </w:t>
      </w:r>
      <w:r w:rsidR="000902D0">
        <w:t xml:space="preserve">wechselvollen </w:t>
      </w:r>
      <w:r w:rsidR="008A0F00" w:rsidRPr="00420626">
        <w:t xml:space="preserve">Jahrhunderten </w:t>
      </w:r>
      <w:r w:rsidR="000902D0">
        <w:t xml:space="preserve">danach schwankte die Größe des Reichs beträchtlich. Ein Wendepunkt war erreicht, als Königin Jadwiga 1386 den – frisch getauften – litauischen Großfürsten </w:t>
      </w:r>
      <w:proofErr w:type="spellStart"/>
      <w:r w:rsidR="000902D0">
        <w:t>Jogaila</w:t>
      </w:r>
      <w:proofErr w:type="spellEnd"/>
      <w:r w:rsidR="000902D0">
        <w:t xml:space="preserve"> (Jagiełło) heiratete und ein Staatsverband entstand, der sich allmählich zu einer </w:t>
      </w:r>
      <w:r w:rsidR="001C12A2" w:rsidRPr="00420626">
        <w:t xml:space="preserve">europäischen Großmacht </w:t>
      </w:r>
      <w:r w:rsidR="000902D0">
        <w:t>entwickelte</w:t>
      </w:r>
      <w:r w:rsidR="001C12A2" w:rsidRPr="00420626">
        <w:t xml:space="preserve">. </w:t>
      </w:r>
      <w:r w:rsidR="000902D0">
        <w:t xml:space="preserve">Spätestens mit der Lubliner </w:t>
      </w:r>
      <w:r w:rsidR="001C12A2" w:rsidRPr="00420626">
        <w:t xml:space="preserve">Union </w:t>
      </w:r>
      <w:r w:rsidR="000902D0">
        <w:t xml:space="preserve">von 1569, der die beiden Reichsteile noch enger aneinander band, </w:t>
      </w:r>
      <w:r w:rsidR="00C11850">
        <w:t xml:space="preserve">gehörte das Land </w:t>
      </w:r>
      <w:r w:rsidR="001C12A2" w:rsidRPr="00420626">
        <w:t xml:space="preserve">zu den größten und mächtigsten Staaten in Europa. </w:t>
      </w:r>
      <w:r w:rsidR="00E649BB" w:rsidRPr="00420626">
        <w:t xml:space="preserve"> Im weiteren Verlauf führten mehrere Kriege und innenpolitische Unruhen im 17. Jahrhundert dazu, dass Polen</w:t>
      </w:r>
      <w:r w:rsidR="00C11850">
        <w:t>-Litauen</w:t>
      </w:r>
      <w:r w:rsidR="00E649BB" w:rsidRPr="00420626">
        <w:t xml:space="preserve"> in eine Krise stürzte. </w:t>
      </w:r>
      <w:r w:rsidR="00CA72CA" w:rsidRPr="00420626">
        <w:t>Russland, Preußen und Österreich</w:t>
      </w:r>
      <w:r w:rsidR="00C11850">
        <w:t xml:space="preserve"> </w:t>
      </w:r>
      <w:r w:rsidR="00E76D86" w:rsidRPr="00420626">
        <w:t>nutzten dies für ihre Interessen</w:t>
      </w:r>
      <w:r w:rsidR="00C11850">
        <w:t xml:space="preserve"> und teilten </w:t>
      </w:r>
      <w:r w:rsidR="00CA72CA" w:rsidRPr="00420626">
        <w:t xml:space="preserve">Polen </w:t>
      </w:r>
      <w:r w:rsidR="00C11850">
        <w:t>in der zweiten Hälfte des 18. Jahrhunderts untereinander auf</w:t>
      </w:r>
      <w:r w:rsidR="00CA72CA" w:rsidRPr="00420626">
        <w:t xml:space="preserve">. </w:t>
      </w:r>
      <w:r w:rsidR="0016230B" w:rsidRPr="00420626">
        <w:t xml:space="preserve">Zu einer Wiederentstehung des polnischen Staates konnte es erst nach </w:t>
      </w:r>
      <w:r w:rsidR="0016230B" w:rsidRPr="004D3606">
        <w:t xml:space="preserve">dem </w:t>
      </w:r>
      <w:r w:rsidR="00A82C1C">
        <w:t>Ersten</w:t>
      </w:r>
      <w:r w:rsidR="0016230B" w:rsidRPr="004D3606">
        <w:t xml:space="preserve"> Weltkrieg kommen, </w:t>
      </w:r>
      <w:r w:rsidR="001C457F">
        <w:t xml:space="preserve">den alle drei Teilungsmächte </w:t>
      </w:r>
      <w:r w:rsidR="0016230B" w:rsidRPr="004D3606">
        <w:t>verloren ha</w:t>
      </w:r>
      <w:r w:rsidR="00E76D86" w:rsidRPr="004D3606">
        <w:t>tt</w:t>
      </w:r>
      <w:r w:rsidR="0016230B" w:rsidRPr="004D3606">
        <w:t>en. Im Friedensvertrag von Versailles aus dem Jahre 1919 wurde die Unabhängigkeit Polens festgelegt.</w:t>
      </w:r>
      <w:r w:rsidR="0045055B" w:rsidRPr="004D3606">
        <w:t xml:space="preserve"> </w:t>
      </w:r>
      <w:r w:rsidR="006174C2" w:rsidRPr="004D3606">
        <w:t xml:space="preserve">Doch die Souveränität Polens nach dem </w:t>
      </w:r>
      <w:r w:rsidR="000902D0">
        <w:t>Ersten</w:t>
      </w:r>
      <w:r w:rsidR="006174C2" w:rsidRPr="004D3606">
        <w:t xml:space="preserve"> Weltkrieg hielt nicht lange: Deutschland und die Sowjetunion fielen </w:t>
      </w:r>
      <w:r w:rsidR="00E76D86" w:rsidRPr="004D3606">
        <w:t xml:space="preserve">1939 </w:t>
      </w:r>
      <w:r w:rsidR="006174C2" w:rsidRPr="004D3606">
        <w:t>in Polen ein und teilten es sich untereinander auf</w:t>
      </w:r>
      <w:r w:rsidR="00D674BF" w:rsidRPr="004D3606">
        <w:t xml:space="preserve">. </w:t>
      </w:r>
      <w:r w:rsidR="000902D0">
        <w:t xml:space="preserve">Im besetzten Polen setzte eine deutsche Terrorherrschaft ein, die Millionen Menschen das Leben kostete. </w:t>
      </w:r>
      <w:r w:rsidR="0031720D" w:rsidRPr="004D3606">
        <w:t xml:space="preserve">Nach dem </w:t>
      </w:r>
      <w:r w:rsidR="001C457F">
        <w:t>Zweiten</w:t>
      </w:r>
      <w:r w:rsidR="0031720D" w:rsidRPr="004D3606">
        <w:t xml:space="preserve"> Weltkrieg</w:t>
      </w:r>
      <w:r w:rsidR="008C24DD" w:rsidRPr="004D3606">
        <w:t xml:space="preserve"> wurde der polnische Staat </w:t>
      </w:r>
      <w:r w:rsidR="001C457F">
        <w:t xml:space="preserve">auf Wunsch der sowjetischen Führung nach Westen verschoben und geriet unter kommunistische Herrschaft. In der </w:t>
      </w:r>
      <w:r w:rsidR="00BF6590" w:rsidRPr="000902D0">
        <w:rPr>
          <w:bCs/>
        </w:rPr>
        <w:t>„Volksrepublik Polen“</w:t>
      </w:r>
      <w:r w:rsidR="0031720D" w:rsidRPr="004D3606">
        <w:t xml:space="preserve"> wurden </w:t>
      </w:r>
      <w:r w:rsidR="001C457F">
        <w:t xml:space="preserve">schrittweise </w:t>
      </w:r>
      <w:r w:rsidR="0031720D" w:rsidRPr="004D3606">
        <w:t>alle demokratischen Kräfte ausgeschaltet</w:t>
      </w:r>
      <w:r w:rsidR="00BF6590" w:rsidRPr="004D3606">
        <w:t xml:space="preserve">. </w:t>
      </w:r>
      <w:r w:rsidR="001C457F">
        <w:t xml:space="preserve">Die Proteste gegen die wirtschaftliche (und gesellschaftliche) Lage eskalierten in den Unruhen von 1956, 1968 und 1970, bevor sie 1980 ihren Höhepunkt erreichten und zum Entstehen der unabhängigen Gewerkschaft </w:t>
      </w:r>
      <w:r w:rsidR="00BF6590" w:rsidRPr="000902D0">
        <w:rPr>
          <w:bCs/>
        </w:rPr>
        <w:t>„Solidarno</w:t>
      </w:r>
      <w:r w:rsidR="001C457F" w:rsidRPr="000902D0">
        <w:rPr>
          <w:bCs/>
        </w:rPr>
        <w:t>ść</w:t>
      </w:r>
      <w:r w:rsidR="00BF6590" w:rsidRPr="000902D0">
        <w:rPr>
          <w:bCs/>
        </w:rPr>
        <w:t>“</w:t>
      </w:r>
      <w:r w:rsidR="0043050D" w:rsidRPr="000902D0">
        <w:t xml:space="preserve"> </w:t>
      </w:r>
      <w:r w:rsidR="0043050D" w:rsidRPr="000902D0">
        <w:rPr>
          <w:bCs/>
        </w:rPr>
        <w:t>(Solidarität)</w:t>
      </w:r>
      <w:r w:rsidR="00BF6590" w:rsidRPr="004D3606">
        <w:t xml:space="preserve"> </w:t>
      </w:r>
      <w:r w:rsidR="001C457F">
        <w:t xml:space="preserve">führte, die </w:t>
      </w:r>
      <w:r w:rsidR="00BF6590" w:rsidRPr="004D3606">
        <w:t>mit de</w:t>
      </w:r>
      <w:r w:rsidR="001C457F">
        <w:t>r</w:t>
      </w:r>
      <w:r w:rsidR="00BF6590" w:rsidRPr="004D3606">
        <w:t xml:space="preserve"> Ausruf</w:t>
      </w:r>
      <w:r w:rsidR="001C457F">
        <w:t xml:space="preserve">ung </w:t>
      </w:r>
      <w:r w:rsidR="00BF6590" w:rsidRPr="004D3606">
        <w:t xml:space="preserve">des Kriegsrechts im </w:t>
      </w:r>
      <w:r w:rsidR="001C457F">
        <w:t xml:space="preserve">Dezember </w:t>
      </w:r>
      <w:r w:rsidR="00BF6590" w:rsidRPr="004D3606">
        <w:t xml:space="preserve">1981 </w:t>
      </w:r>
      <w:r w:rsidR="001C457F">
        <w:t xml:space="preserve">wieder </w:t>
      </w:r>
      <w:r w:rsidR="00BF6590" w:rsidRPr="004D3606">
        <w:t xml:space="preserve">verboten wurde. </w:t>
      </w:r>
      <w:r w:rsidR="0043050D" w:rsidRPr="004D3606">
        <w:t xml:space="preserve">Erst 1989 wurde </w:t>
      </w:r>
      <w:r w:rsidR="001C457F">
        <w:t xml:space="preserve">die Gewerkschaft </w:t>
      </w:r>
      <w:r w:rsidR="0043050D" w:rsidRPr="004D3606">
        <w:t>wieder zugelassen</w:t>
      </w:r>
      <w:r w:rsidR="001C457F">
        <w:t xml:space="preserve">. Die demokratischen Kräfte gewannen nach den Verhandlungen am Runden Tisch </w:t>
      </w:r>
      <w:r w:rsidR="0043050D" w:rsidRPr="004D3606">
        <w:t>im selbe</w:t>
      </w:r>
      <w:r w:rsidR="001C457F">
        <w:t>n</w:t>
      </w:r>
      <w:r w:rsidR="0043050D" w:rsidRPr="004D3606">
        <w:t xml:space="preserve"> Jahr </w:t>
      </w:r>
      <w:r w:rsidR="00E76D86" w:rsidRPr="004D3606">
        <w:t xml:space="preserve">die </w:t>
      </w:r>
      <w:r w:rsidR="0043050D" w:rsidRPr="004D3606">
        <w:t xml:space="preserve">ersten </w:t>
      </w:r>
      <w:r w:rsidR="00E76D86" w:rsidRPr="004D3606">
        <w:t xml:space="preserve">halbfreien </w:t>
      </w:r>
      <w:r w:rsidR="0043050D" w:rsidRPr="004D3606">
        <w:t>Wahlen. Dies markiert das Ende des Kommunismus in Polen</w:t>
      </w:r>
      <w:r w:rsidR="00EA7799" w:rsidRPr="004D3606">
        <w:t xml:space="preserve"> und den Beginn eines demokratischen Polens auf marktwirtschaftlicher Grundlage</w:t>
      </w:r>
      <w:r w:rsidR="00824AF1" w:rsidRPr="004D3606">
        <w:t xml:space="preserve">. </w:t>
      </w:r>
    </w:p>
    <w:p w14:paraId="056390B9" w14:textId="77777777" w:rsidR="00E76D86" w:rsidRPr="004D3606" w:rsidRDefault="00E76D86" w:rsidP="00824AF1">
      <w:pPr>
        <w:pStyle w:val="1Standardflietext"/>
        <w:jc w:val="both"/>
      </w:pPr>
    </w:p>
    <w:p w14:paraId="57B3C1C7" w14:textId="766DECA7" w:rsidR="00E76D86" w:rsidRPr="004D3606" w:rsidRDefault="00E76D86" w:rsidP="00824AF1">
      <w:pPr>
        <w:pStyle w:val="1Standardflietext"/>
        <w:jc w:val="both"/>
        <w:rPr>
          <w:u w:val="single"/>
        </w:rPr>
      </w:pPr>
      <w:r w:rsidRPr="004D3606">
        <w:rPr>
          <w:u w:val="single"/>
        </w:rPr>
        <w:t>Polen und Europa nach 1989</w:t>
      </w:r>
    </w:p>
    <w:p w14:paraId="2314F7AA" w14:textId="77777777" w:rsidR="00E76D86" w:rsidRPr="004D3606" w:rsidRDefault="00E76D86" w:rsidP="00824AF1">
      <w:pPr>
        <w:pStyle w:val="1Standardflietext"/>
        <w:jc w:val="both"/>
      </w:pPr>
    </w:p>
    <w:p w14:paraId="1EB565B3" w14:textId="176189E3" w:rsidR="00824AF1" w:rsidRPr="004D3606" w:rsidRDefault="00824AF1" w:rsidP="000A19BD">
      <w:pPr>
        <w:pStyle w:val="1Standardflietext"/>
        <w:spacing w:line="240" w:lineRule="auto"/>
        <w:jc w:val="both"/>
      </w:pPr>
      <w:r w:rsidRPr="004D3606">
        <w:rPr>
          <w:rFonts w:eastAsia="Courier New"/>
        </w:rPr>
        <w:t>Ein Leitmotiv war dabei die „Rückkehr nach Europa“, verstanden als Herauslösung aus dem sowjetischen Herrschaftsbereich und Eingliede</w:t>
      </w:r>
      <w:r w:rsidRPr="004D3606">
        <w:rPr>
          <w:rFonts w:eastAsia="Courier New"/>
        </w:rPr>
        <w:softHyphen/>
        <w:t>rung in die politischen und wirtschaftlichen Struk</w:t>
      </w:r>
      <w:r w:rsidRPr="004D3606">
        <w:rPr>
          <w:rFonts w:eastAsia="Courier New"/>
        </w:rPr>
        <w:softHyphen/>
        <w:t>turen des Westens. Konkret hieß das, dass man die Aufnahme in die EG (später EU) und in die NA</w:t>
      </w:r>
      <w:r w:rsidRPr="004D3606">
        <w:rPr>
          <w:rFonts w:eastAsia="Courier New"/>
        </w:rPr>
        <w:softHyphen/>
        <w:t xml:space="preserve">TO anstrebte. Zugleich mussten die Beziehungen zu den neuen Nachbarn im Osten wie im Westen neu verhandelt werden. </w:t>
      </w:r>
      <w:r w:rsidR="00EF2842" w:rsidRPr="004D3606">
        <w:rPr>
          <w:rFonts w:eastAsia="Courier New"/>
        </w:rPr>
        <w:t>Die Verhandlungen über einen Beitritt Polens zur Europäischen Gemeinschaft begannen bereits mit der Wende 1989.</w:t>
      </w:r>
      <w:r w:rsidR="00C70C0E" w:rsidRPr="004D3606">
        <w:rPr>
          <w:rFonts w:eastAsia="Courier New"/>
        </w:rPr>
        <w:t xml:space="preserve"> </w:t>
      </w:r>
      <w:r w:rsidR="00074FA1" w:rsidRPr="004D3606">
        <w:rPr>
          <w:rFonts w:eastAsia="Courier New"/>
        </w:rPr>
        <w:t xml:space="preserve">Als erster formaler Schritt hin zu einer EU-Mitgliedschaft wurde 1991 ein </w:t>
      </w:r>
      <w:r w:rsidR="00074FA1" w:rsidRPr="004D3606">
        <w:rPr>
          <w:rFonts w:eastAsia="Courier New"/>
          <w:b/>
          <w:bCs/>
        </w:rPr>
        <w:t>Europa-Abkommen</w:t>
      </w:r>
      <w:r w:rsidR="00074FA1" w:rsidRPr="004D3606">
        <w:rPr>
          <w:rFonts w:eastAsia="Courier New"/>
        </w:rPr>
        <w:t xml:space="preserve"> abgeschlossen, welches 1994 in Kraft getreten ist. Mit dem Abkommen wurde eine erste Grundlage für eine wirtschaftliche und politische Reform geschaff</w:t>
      </w:r>
      <w:r w:rsidR="001A4A8E">
        <w:rPr>
          <w:rFonts w:eastAsia="Courier New"/>
        </w:rPr>
        <w:t>en</w:t>
      </w:r>
      <w:r w:rsidR="00074FA1" w:rsidRPr="004D3606">
        <w:rPr>
          <w:rFonts w:eastAsia="Courier New"/>
        </w:rPr>
        <w:t xml:space="preserve"> sowie ein institutioneller Rahmen und die Rechtsgrundlage für die Beziehungen zwischen Polen und der EU gebildet. Alle gemeinsamen </w:t>
      </w:r>
      <w:r w:rsidR="00074FA1" w:rsidRPr="004D3606">
        <w:rPr>
          <w:rFonts w:eastAsia="Courier New"/>
        </w:rPr>
        <w:lastRenderedPageBreak/>
        <w:t>Interessensbereiche</w:t>
      </w:r>
      <w:r w:rsidR="00601EB2" w:rsidRPr="004D3606">
        <w:rPr>
          <w:rFonts w:eastAsia="Courier New"/>
        </w:rPr>
        <w:t xml:space="preserve"> wie z.B. Landwirtschaft, Finanzen oder Wirtschaft wurden damit geregelt. Daraufhin reichte Polen am </w:t>
      </w:r>
      <w:r w:rsidR="00601EB2" w:rsidRPr="004D3606">
        <w:rPr>
          <w:rFonts w:eastAsia="Courier New"/>
          <w:b/>
          <w:bCs/>
        </w:rPr>
        <w:t>5. April 1994</w:t>
      </w:r>
      <w:r w:rsidR="00601EB2" w:rsidRPr="004D3606">
        <w:rPr>
          <w:rFonts w:eastAsia="Courier New"/>
        </w:rPr>
        <w:t xml:space="preserve"> offiziell seine Bewerbung für einen EU-Beitritt bei der Europäischen Kommission ein.</w:t>
      </w:r>
      <w:r w:rsidR="009E28E5" w:rsidRPr="004D3606">
        <w:rPr>
          <w:rFonts w:eastAsia="Courier New"/>
        </w:rPr>
        <w:t xml:space="preserve"> Es folgte eine schwierige und mehrere Jahre andauernde Verhandlungsphase</w:t>
      </w:r>
      <w:r w:rsidR="00E76D86" w:rsidRPr="004D3606">
        <w:rPr>
          <w:rFonts w:eastAsia="Courier New"/>
        </w:rPr>
        <w:t>.</w:t>
      </w:r>
    </w:p>
    <w:p w14:paraId="300B47BA" w14:textId="77777777" w:rsidR="00AA34B1" w:rsidRPr="004D3606" w:rsidRDefault="00C70C0E" w:rsidP="000A19BD">
      <w:pPr>
        <w:pStyle w:val="1Standardflietext"/>
        <w:spacing w:line="240" w:lineRule="auto"/>
        <w:jc w:val="both"/>
        <w:rPr>
          <w:rFonts w:eastAsia="Courier New"/>
        </w:rPr>
      </w:pPr>
      <w:r w:rsidRPr="004D3606">
        <w:rPr>
          <w:rFonts w:eastAsia="Courier New"/>
        </w:rPr>
        <w:t>Zu Be</w:t>
      </w:r>
      <w:r w:rsidRPr="004D3606">
        <w:rPr>
          <w:rFonts w:eastAsia="Courier New"/>
        </w:rPr>
        <w:softHyphen/>
        <w:t>ginn waren diese Verhandlungen vor allem von Hoffnungen auf eine schnellere Modernisierung des Landes begleitet. Je weiter sie fortschritten, desto kritischer wurde die Einstellung der polnischen Bevöl</w:t>
      </w:r>
      <w:r w:rsidRPr="004D3606">
        <w:rPr>
          <w:rFonts w:eastAsia="Courier New"/>
        </w:rPr>
        <w:softHyphen/>
        <w:t>kerung, die bald befürchtete, eine weitere Libera</w:t>
      </w:r>
      <w:r w:rsidRPr="004D3606">
        <w:rPr>
          <w:rFonts w:eastAsia="Courier New"/>
        </w:rPr>
        <w:softHyphen/>
        <w:t>lisierung des Handels, der ungehinderte Zugang von ausländischen Investitionen und die politi</w:t>
      </w:r>
      <w:r w:rsidRPr="004D3606">
        <w:rPr>
          <w:rFonts w:eastAsia="Courier New"/>
        </w:rPr>
        <w:softHyphen/>
        <w:t>schen Verpflichtungen, die sich aus der Mitglied</w:t>
      </w:r>
      <w:r w:rsidRPr="004D3606">
        <w:rPr>
          <w:rFonts w:eastAsia="Courier New"/>
        </w:rPr>
        <w:softHyphen/>
        <w:t>schaft ergeben würden, könnten Polen seiner Sou</w:t>
      </w:r>
      <w:r w:rsidRPr="004D3606">
        <w:rPr>
          <w:rFonts w:eastAsia="Courier New"/>
        </w:rPr>
        <w:softHyphen/>
        <w:t>veränität und kulturellen Identität berauben und zur Verarmung des Landes und zu einer höheren Ar</w:t>
      </w:r>
      <w:r w:rsidRPr="004D3606">
        <w:rPr>
          <w:rFonts w:eastAsia="Courier New"/>
        </w:rPr>
        <w:softHyphen/>
        <w:t xml:space="preserve">beitslosigkeit führen. Schließlich stimmten aber 2003 in einem Referendum über 77 % der an der Abstimmung teilnehmenden Polen für den </w:t>
      </w:r>
      <w:r w:rsidRPr="004D3606">
        <w:rPr>
          <w:rFonts w:eastAsia="Courier New"/>
          <w:b/>
          <w:bCs/>
        </w:rPr>
        <w:t>EU-Beitritt</w:t>
      </w:r>
      <w:r w:rsidRPr="004D3606">
        <w:rPr>
          <w:rFonts w:eastAsia="Courier New"/>
        </w:rPr>
        <w:t>. Auch in einigen EU-Mitgliedsländern wuchsen die Ängste vor einer ungehinderten Ein</w:t>
      </w:r>
      <w:r w:rsidRPr="004D3606">
        <w:rPr>
          <w:rFonts w:eastAsia="Courier New"/>
        </w:rPr>
        <w:softHyphen/>
        <w:t>wanderung von Polen und davor, dass Arbeits</w:t>
      </w:r>
      <w:r w:rsidRPr="004D3606">
        <w:rPr>
          <w:rFonts w:eastAsia="Courier New"/>
        </w:rPr>
        <w:softHyphen/>
        <w:t>kräfte aus Polen die Löhne nach unten drücken könnten.</w:t>
      </w:r>
      <w:r w:rsidR="008B7083" w:rsidRPr="004D3606">
        <w:rPr>
          <w:rFonts w:eastAsia="Courier New"/>
        </w:rPr>
        <w:t xml:space="preserve"> Bereits kurz nach dem Beitritt am </w:t>
      </w:r>
      <w:r w:rsidR="008B7083" w:rsidRPr="004D3606">
        <w:rPr>
          <w:rFonts w:eastAsia="Courier New"/>
          <w:b/>
          <w:bCs/>
        </w:rPr>
        <w:t>1. Mai 2004</w:t>
      </w:r>
      <w:r w:rsidR="008B7083" w:rsidRPr="004D3606">
        <w:rPr>
          <w:rFonts w:eastAsia="Courier New"/>
        </w:rPr>
        <w:t xml:space="preserve"> erwies sich jedoch, dass fast alle Befürchtungen unberechtigt gewesen waren. Polen emigrierten vor allem nach Großbritannien, Irland, Schweden und Norwegen, also in Länder, die ihren Arbeits</w:t>
      </w:r>
      <w:r w:rsidR="008B7083" w:rsidRPr="004D3606">
        <w:rPr>
          <w:rFonts w:eastAsia="Courier New"/>
        </w:rPr>
        <w:softHyphen/>
        <w:t>markt geöffnet hatten. Dort war die Arbeitslosig</w:t>
      </w:r>
      <w:r w:rsidR="008B7083" w:rsidRPr="004D3606">
        <w:rPr>
          <w:rFonts w:eastAsia="Courier New"/>
        </w:rPr>
        <w:softHyphen/>
        <w:t>keit niedriger, es wurden zusätzliche Arbeitskräfte gebraucht und die bürokratischen Hürden für eine Arbeitsaufnahme waren geringer als in Deutsch</w:t>
      </w:r>
      <w:r w:rsidR="008B7083" w:rsidRPr="004D3606">
        <w:rPr>
          <w:rFonts w:eastAsia="Courier New"/>
        </w:rPr>
        <w:softHyphen/>
        <w:t>land, Österreich und Frankreich. Polens Bauern, die vor 2004 mehrheitlich gegen den EU-Beitritt gewesen waren, wurden dank der EU-Agrarsubventionen nun zu EU-Nutznießern und Befürwor</w:t>
      </w:r>
      <w:r w:rsidR="008B7083" w:rsidRPr="004D3606">
        <w:rPr>
          <w:rFonts w:eastAsia="Courier New"/>
        </w:rPr>
        <w:softHyphen/>
        <w:t>tern der Mitgliedschaft. Umfangreiche, von der EU geförderte Infrastrukturmaßnahmen</w:t>
      </w:r>
      <w:r w:rsidR="007A6751" w:rsidRPr="004D3606">
        <w:rPr>
          <w:rFonts w:eastAsia="Courier New"/>
        </w:rPr>
        <w:t xml:space="preserve"> (u.a. Ausbau des Autobahn- und Eisenbahnnetzes)</w:t>
      </w:r>
      <w:r w:rsidR="008B7083" w:rsidRPr="004D3606">
        <w:rPr>
          <w:rFonts w:eastAsia="Courier New"/>
        </w:rPr>
        <w:t xml:space="preserve"> und die </w:t>
      </w:r>
      <w:r w:rsidR="008B7083" w:rsidRPr="004D3606">
        <w:rPr>
          <w:rFonts w:eastAsia="Courier New"/>
          <w:b/>
          <w:bCs/>
        </w:rPr>
        <w:t>Aufhebung der Grenzkontrollen</w:t>
      </w:r>
      <w:r w:rsidR="008B7083" w:rsidRPr="004D3606">
        <w:rPr>
          <w:rFonts w:eastAsia="Courier New"/>
        </w:rPr>
        <w:t xml:space="preserve"> im Rahmen des Schengener Abkommens (Beitritt Polens am 21. Dezember 2007) sorgten dafür, dass die Unterstützung für die EU-Mitgliedschaft in Polen sehr hoch und stabil blieb. </w:t>
      </w:r>
      <w:r w:rsidR="00AA1BD2" w:rsidRPr="004D3606">
        <w:rPr>
          <w:rFonts w:eastAsia="Courier New"/>
        </w:rPr>
        <w:t xml:space="preserve">Probleme brachte die neue EU-Außengrenze vor allem für Polens östliche Nachbarn, für die es nun schwieriger wurde, nach Polen zu reisen und mit Polen Handel zu treiben. </w:t>
      </w:r>
      <w:r w:rsidR="00AA34B1" w:rsidRPr="004D3606">
        <w:rPr>
          <w:rFonts w:eastAsia="Courier New"/>
        </w:rPr>
        <w:t>Das gesteigerte Selbstbewusstsein Polens mach</w:t>
      </w:r>
      <w:r w:rsidR="00AA34B1" w:rsidRPr="004D3606">
        <w:rPr>
          <w:rFonts w:eastAsia="Courier New"/>
        </w:rPr>
        <w:softHyphen/>
        <w:t>te sich nach dem EU-Beitritt auch innerhalb der EU-Institutionen bemerkbar. Nach anfänglicher Passivität entwickelte Polen immer mehr Initiati</w:t>
      </w:r>
      <w:r w:rsidR="00AA34B1" w:rsidRPr="004D3606">
        <w:rPr>
          <w:rFonts w:eastAsia="Courier New"/>
        </w:rPr>
        <w:softHyphen/>
        <w:t xml:space="preserve">ven zur Zusammenarbeit zwischen der EU und Polens östlichen Nachbarn. Am 1. Juli 2011 übernahm Polen erstmals die </w:t>
      </w:r>
      <w:r w:rsidR="00AA34B1" w:rsidRPr="004D3606">
        <w:rPr>
          <w:rFonts w:eastAsia="Courier New"/>
          <w:b/>
          <w:bCs/>
        </w:rPr>
        <w:t>EU-Ratspräsidentschaft</w:t>
      </w:r>
      <w:r w:rsidR="00AA34B1" w:rsidRPr="004D3606">
        <w:rPr>
          <w:rFonts w:eastAsia="Courier New"/>
        </w:rPr>
        <w:t>. In den Leitlinien zur Präsidentschaft war das Selbstbewusstsein nach der gelungenen „Rückkehr nach Europa“ deutlich er</w:t>
      </w:r>
      <w:r w:rsidR="00AA34B1" w:rsidRPr="004D3606">
        <w:rPr>
          <w:rFonts w:eastAsia="Courier New"/>
        </w:rPr>
        <w:softHyphen/>
        <w:t>kennbar. Auf der Agenda standen die Liberalisierung des Binnenmarkts, das Ankurbeln des Wachstums, aber auch die Solidarität, was sich nicht zuletzt in der Offenheit gegenüber einer EU-Erweiterung und besonders im Engagement für die Östliche Partnerschaft sowie in der Un</w:t>
      </w:r>
      <w:r w:rsidR="00AA34B1" w:rsidRPr="004D3606">
        <w:rPr>
          <w:rFonts w:eastAsia="Courier New"/>
        </w:rPr>
        <w:softHyphen/>
        <w:t>terstützung der Demokratisierung in den arabi</w:t>
      </w:r>
      <w:r w:rsidR="00AA34B1" w:rsidRPr="004D3606">
        <w:rPr>
          <w:rFonts w:eastAsia="Courier New"/>
        </w:rPr>
        <w:softHyphen/>
        <w:t xml:space="preserve">schen Ländern gezeigt hat. 2014 wurde außerdem der bisherige Ministerpräsident Polens Donald Tusk neuer Präsident des Europäischen Rates. </w:t>
      </w:r>
    </w:p>
    <w:p w14:paraId="29F9FFDF" w14:textId="404C6936" w:rsidR="00DD2261" w:rsidRDefault="00AA34B1" w:rsidP="00D6580C">
      <w:pPr>
        <w:pStyle w:val="1Standardflietext"/>
        <w:spacing w:line="240" w:lineRule="auto"/>
        <w:jc w:val="both"/>
      </w:pPr>
      <w:r w:rsidRPr="004D3606">
        <w:rPr>
          <w:rFonts w:eastAsia="Courier New"/>
        </w:rPr>
        <w:t>Mit</w:t>
      </w:r>
      <w:r w:rsidRPr="004D3606">
        <w:t xml:space="preserve"> Übernahme der Regierungsgeschäfte durch die Partei </w:t>
      </w:r>
      <w:r w:rsidRPr="004D3606">
        <w:rPr>
          <w:b/>
          <w:bCs/>
        </w:rPr>
        <w:t>Recht und Gerechtigkeit (</w:t>
      </w:r>
      <w:proofErr w:type="spellStart"/>
      <w:r w:rsidRPr="004D3606">
        <w:rPr>
          <w:b/>
          <w:bCs/>
          <w:iCs/>
        </w:rPr>
        <w:t>Prawo</w:t>
      </w:r>
      <w:proofErr w:type="spellEnd"/>
      <w:r w:rsidRPr="004D3606">
        <w:rPr>
          <w:b/>
          <w:bCs/>
          <w:iCs/>
        </w:rPr>
        <w:t xml:space="preserve"> i </w:t>
      </w:r>
      <w:proofErr w:type="spellStart"/>
      <w:r w:rsidRPr="004D3606">
        <w:rPr>
          <w:b/>
          <w:bCs/>
          <w:iCs/>
        </w:rPr>
        <w:t>Sprawiedliwość</w:t>
      </w:r>
      <w:proofErr w:type="spellEnd"/>
      <w:r w:rsidRPr="004D3606">
        <w:rPr>
          <w:b/>
          <w:bCs/>
          <w:iCs/>
        </w:rPr>
        <w:t xml:space="preserve"> – </w:t>
      </w:r>
      <w:proofErr w:type="spellStart"/>
      <w:r w:rsidRPr="004D3606">
        <w:rPr>
          <w:b/>
          <w:bCs/>
          <w:iCs/>
        </w:rPr>
        <w:t>PiS</w:t>
      </w:r>
      <w:proofErr w:type="spellEnd"/>
      <w:r w:rsidRPr="004D3606">
        <w:rPr>
          <w:b/>
          <w:bCs/>
        </w:rPr>
        <w:t>)</w:t>
      </w:r>
      <w:r w:rsidRPr="004D3606">
        <w:t xml:space="preserve"> Ende 2015 haben sich die </w:t>
      </w:r>
      <w:r w:rsidR="003B363C" w:rsidRPr="004D3606">
        <w:t>Beziehungen Polens gegenüber</w:t>
      </w:r>
      <w:r w:rsidRPr="004D3606">
        <w:t xml:space="preserve"> EU gewandelt. Durch die positive gesellschaftliche und wirtschaftliche Entwicklung der vorangegangenen 30 Jahre hat das Land weiter an nationalem Selbstwertgefühl dazugewonnen. So betrachtet die neue polnische Regierung bestimmte Vorgaben vonseiten der EU weiterhin als Einflussnahme auf seine nationale Souveränität. Dabei zielt </w:t>
      </w:r>
      <w:r w:rsidR="00AE18EB">
        <w:t xml:space="preserve">ihre </w:t>
      </w:r>
      <w:r w:rsidRPr="004D3606">
        <w:t xml:space="preserve">außenpolitische Haltung außerdem auf eine möglichst eigenständige Position innerhalb der europäischen Gemeinschaft ab. Obwohl die Zustimmung zur EU in der polnischen Bevölkerung insgesamt hoch ist, ergeben sich mehrere Konfliktpunkte zwischen der rechtskonservativen </w:t>
      </w:r>
      <w:proofErr w:type="spellStart"/>
      <w:r w:rsidRPr="004D3606">
        <w:t>PiS</w:t>
      </w:r>
      <w:proofErr w:type="spellEnd"/>
      <w:r w:rsidRPr="004D3606">
        <w:t>-Regierung und der EU-Kommission: Mit Herausbildung</w:t>
      </w:r>
      <w:r w:rsidR="008C3E56" w:rsidRPr="004D3606">
        <w:t xml:space="preserve"> nichtl</w:t>
      </w:r>
      <w:r w:rsidR="00AE18EB">
        <w:t>i</w:t>
      </w:r>
      <w:r w:rsidRPr="004D3606">
        <w:t xml:space="preserve">beraler demokratischer Strukturen führt vor allem der Umbau der öffentlich-rechtlichen Medien und damit verbundene Einschränkungen bei der freien Meinungsäußerung sowie die Umsetzung von </w:t>
      </w:r>
      <w:r w:rsidRPr="004D3606">
        <w:rPr>
          <w:b/>
          <w:bCs/>
        </w:rPr>
        <w:t>Reformen im Justizwesen</w:t>
      </w:r>
      <w:r w:rsidRPr="004D3606">
        <w:t xml:space="preserve"> zu Uneinigkeit. Durch die zunehmend unter politische Kontrolle der regierenden Mehrheit im Senat gebrachte Medienlandschaft und Rechtsprechung befürchtet die EU in Polen die Aushöhlung rechtsstaatlicher Grundwerte.</w:t>
      </w:r>
      <w:r w:rsidR="00775596" w:rsidRPr="004D3606">
        <w:t xml:space="preserve"> </w:t>
      </w:r>
      <w:r w:rsidR="00775596" w:rsidRPr="00420626">
        <w:lastRenderedPageBreak/>
        <w:t xml:space="preserve">Gleichzeitig bringt die </w:t>
      </w:r>
      <w:proofErr w:type="spellStart"/>
      <w:r w:rsidR="00775596" w:rsidRPr="00420626">
        <w:t>PiS</w:t>
      </w:r>
      <w:proofErr w:type="spellEnd"/>
      <w:r w:rsidR="00775596" w:rsidRPr="00420626">
        <w:t xml:space="preserve"> </w:t>
      </w:r>
      <w:r w:rsidR="00826DC3" w:rsidRPr="00420626">
        <w:t>immer mehr LGBT-diskriminierende Maßnahmen voran, wie z.B. die Errichtung von „LGBT-freien Zonen“ in bestimmten Landesteilen, um das Land vor einer angeblichen „LGBT-Ideologie“ zu schützen.</w:t>
      </w:r>
      <w:r w:rsidR="004A3D48" w:rsidRPr="00420626">
        <w:rPr>
          <w:color w:val="70AD47" w:themeColor="accent6"/>
        </w:rPr>
        <w:t xml:space="preserve"> </w:t>
      </w:r>
      <w:r w:rsidR="004A3D48" w:rsidRPr="00420626">
        <w:t>Im Herbst 2020 wurde zudem das schon sehr strenge Abtreibungsrecht weiter verschärft</w:t>
      </w:r>
      <w:r w:rsidR="008A498B" w:rsidRPr="00420626">
        <w:t>. Dies</w:t>
      </w:r>
      <w:r w:rsidR="00DD4F04" w:rsidRPr="00420626">
        <w:t>e</w:t>
      </w:r>
      <w:r w:rsidR="008A498B" w:rsidRPr="00420626">
        <w:t xml:space="preserve"> sind nur ei</w:t>
      </w:r>
      <w:r w:rsidR="00DD4F04" w:rsidRPr="00420626">
        <w:t>nzelne</w:t>
      </w:r>
      <w:r w:rsidR="008A498B" w:rsidRPr="00420626">
        <w:t xml:space="preserve"> von mehreren umstrittenen Maßnahmen, </w:t>
      </w:r>
      <w:r w:rsidR="00DD4F04" w:rsidRPr="00420626">
        <w:t>welche</w:t>
      </w:r>
      <w:r w:rsidR="008A498B" w:rsidRPr="00420626">
        <w:t xml:space="preserve"> die </w:t>
      </w:r>
      <w:proofErr w:type="spellStart"/>
      <w:r w:rsidR="008A498B" w:rsidRPr="00420626">
        <w:t>PiS</w:t>
      </w:r>
      <w:proofErr w:type="spellEnd"/>
      <w:r w:rsidR="008A498B" w:rsidRPr="00420626">
        <w:t>-Regierung vorangetrieben hat</w:t>
      </w:r>
      <w:r w:rsidR="004A3D48" w:rsidRPr="00420626">
        <w:t>.</w:t>
      </w:r>
      <w:r w:rsidR="00826DC3" w:rsidRPr="00420626">
        <w:t xml:space="preserve"> Seitens der EU wurden </w:t>
      </w:r>
      <w:r w:rsidR="004A3D48" w:rsidRPr="00420626">
        <w:t xml:space="preserve">all </w:t>
      </w:r>
      <w:r w:rsidR="00826DC3" w:rsidRPr="00420626">
        <w:t xml:space="preserve">diese Maßnahmen immer scharf kritisiert, bei </w:t>
      </w:r>
      <w:r w:rsidR="00DA3BD5" w:rsidRPr="00420626">
        <w:t>einigen</w:t>
      </w:r>
      <w:r w:rsidR="00CB4D02" w:rsidRPr="00420626">
        <w:t xml:space="preserve"> </w:t>
      </w:r>
      <w:r w:rsidR="00826DC3" w:rsidRPr="00420626">
        <w:t xml:space="preserve">wurden </w:t>
      </w:r>
      <w:r w:rsidR="00CB4D02" w:rsidRPr="00420626">
        <w:t xml:space="preserve">von der Europäischen Kommission </w:t>
      </w:r>
      <w:r w:rsidR="00826DC3" w:rsidRPr="00420626">
        <w:t>sogar Vertragsverletzungsverfahren eingeleitet</w:t>
      </w:r>
      <w:r w:rsidR="00CB4D02" w:rsidRPr="00420626">
        <w:t xml:space="preserve">, da diese gegen </w:t>
      </w:r>
      <w:r w:rsidR="00CB4D02" w:rsidRPr="003625C7">
        <w:t>Grundwerte der EU</w:t>
      </w:r>
      <w:r w:rsidR="00CB4D02" w:rsidRPr="00420626">
        <w:t xml:space="preserve"> verstoßen. </w:t>
      </w:r>
      <w:r w:rsidR="006A68E0" w:rsidRPr="00420626">
        <w:t xml:space="preserve">Für die umstrittenen Justizreformen wurde Polen vom </w:t>
      </w:r>
      <w:r w:rsidR="006A68E0" w:rsidRPr="003625C7">
        <w:rPr>
          <w:b/>
          <w:bCs/>
        </w:rPr>
        <w:t xml:space="preserve">Europäischen Gerichtshof </w:t>
      </w:r>
      <w:r w:rsidR="006A68E0" w:rsidRPr="00420626">
        <w:t>zu einer Strafe von einer Millionen Euro für jeden Tag</w:t>
      </w:r>
      <w:r w:rsidR="008C3E56" w:rsidRPr="00420626">
        <w:t>,</w:t>
      </w:r>
      <w:r w:rsidR="006A68E0" w:rsidRPr="00420626">
        <w:t xml:space="preserve"> an welchem sich Polen nicht an EU-Recht hält, verurteilt. Doch Entscheidungen des Europäischen Gerichtshofs werden seitens der polnischen Regierung konsequent ignoriert. Das polnische Verfassungsgericht urteilte</w:t>
      </w:r>
      <w:r w:rsidR="004A3D48" w:rsidRPr="00420626">
        <w:t xml:space="preserve"> im Oktober 2021</w:t>
      </w:r>
      <w:r w:rsidR="006A68E0" w:rsidRPr="00420626">
        <w:t xml:space="preserve"> sogar, dass </w:t>
      </w:r>
      <w:r w:rsidR="008C3E56" w:rsidRPr="00420626">
        <w:t xml:space="preserve">Teile des </w:t>
      </w:r>
      <w:r w:rsidR="009F55DD" w:rsidRPr="00420626">
        <w:t>EU-</w:t>
      </w:r>
      <w:r w:rsidR="006A68E0" w:rsidRPr="00420626">
        <w:t>Recht</w:t>
      </w:r>
      <w:r w:rsidR="008C3E56" w:rsidRPr="00420626">
        <w:t>s</w:t>
      </w:r>
      <w:r w:rsidR="006A68E0" w:rsidRPr="00420626">
        <w:t xml:space="preserve"> </w:t>
      </w:r>
      <w:r w:rsidR="009F55DD" w:rsidRPr="00420626">
        <w:t>unvereinbar mit</w:t>
      </w:r>
      <w:r w:rsidR="006A68E0" w:rsidRPr="00420626">
        <w:t xml:space="preserve"> </w:t>
      </w:r>
      <w:r w:rsidR="009F55DD" w:rsidRPr="00420626">
        <w:t>polnischem Recht</w:t>
      </w:r>
      <w:r w:rsidR="008C3E56" w:rsidRPr="00420626">
        <w:t xml:space="preserve"> sind</w:t>
      </w:r>
      <w:r w:rsidR="00B937D4" w:rsidRPr="00420626">
        <w:t xml:space="preserve">. Von daher wird des Öfteren in den Medien von einem möglichen Austritt Polens aus der EU, einem </w:t>
      </w:r>
      <w:r w:rsidR="00B937D4" w:rsidRPr="003625C7">
        <w:rPr>
          <w:b/>
          <w:bCs/>
        </w:rPr>
        <w:t>„</w:t>
      </w:r>
      <w:proofErr w:type="spellStart"/>
      <w:r w:rsidR="00B937D4" w:rsidRPr="003625C7">
        <w:rPr>
          <w:b/>
          <w:bCs/>
        </w:rPr>
        <w:t>Polexit</w:t>
      </w:r>
      <w:proofErr w:type="spellEnd"/>
      <w:r w:rsidR="00B937D4" w:rsidRPr="003625C7">
        <w:rPr>
          <w:b/>
          <w:bCs/>
        </w:rPr>
        <w:t>“</w:t>
      </w:r>
      <w:r w:rsidR="00B937D4" w:rsidRPr="00420626">
        <w:t>, gesprochen. Nach dem Urteil des Verfassungsgerichts kam es in ganz Polen zu Protest</w:t>
      </w:r>
      <w:bookmarkStart w:id="0" w:name="_GoBack"/>
      <w:bookmarkEnd w:id="0"/>
      <w:r w:rsidR="00B937D4" w:rsidRPr="00420626">
        <w:t>en für einen Verbleib in der EU mit mehreren zehntausenden Teilnehmern.</w:t>
      </w:r>
    </w:p>
    <w:sectPr w:rsidR="00DD2261">
      <w:headerReference w:type="default" r:id="rId7"/>
      <w:footerReference w:type="default" r:id="rId8"/>
      <w:pgSz w:w="11906" w:h="16838"/>
      <w:pgMar w:top="1417" w:right="1417" w:bottom="1134"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2D136" w16cex:dateUtc="2022-01-18T14:37:00Z"/>
  <w16cex:commentExtensible w16cex:durableId="2592D137" w16cex:dateUtc="2022-01-18T14:3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F30F4" w14:textId="77777777" w:rsidR="005464A3" w:rsidRDefault="005464A3" w:rsidP="00806ABB">
      <w:pPr>
        <w:spacing w:after="0" w:line="240" w:lineRule="auto"/>
      </w:pPr>
      <w:r>
        <w:separator/>
      </w:r>
    </w:p>
  </w:endnote>
  <w:endnote w:type="continuationSeparator" w:id="0">
    <w:p w14:paraId="762799B9" w14:textId="77777777" w:rsidR="005464A3" w:rsidRDefault="005464A3" w:rsidP="00806A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99" w:type="dxa"/>
      <w:tblInd w:w="-57" w:type="dxa"/>
      <w:tblBorders>
        <w:top w:val="single" w:sz="4" w:space="0" w:color="auto"/>
      </w:tblBorders>
      <w:tblCellMar>
        <w:left w:w="0" w:type="dxa"/>
        <w:right w:w="0" w:type="dxa"/>
      </w:tblCellMar>
      <w:tblLook w:val="01E0" w:firstRow="1" w:lastRow="1" w:firstColumn="1" w:lastColumn="1" w:noHBand="0" w:noVBand="0"/>
    </w:tblPr>
    <w:tblGrid>
      <w:gridCol w:w="9323"/>
      <w:gridCol w:w="6"/>
      <w:gridCol w:w="6"/>
    </w:tblGrid>
    <w:tr w:rsidR="00806ABB" w:rsidRPr="002E191A" w14:paraId="330ADE33" w14:textId="77777777" w:rsidTr="00806ABB">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311"/>
            <w:gridCol w:w="6"/>
            <w:gridCol w:w="6"/>
          </w:tblGrid>
          <w:tr w:rsidR="00806ABB" w:rsidRPr="002E191A" w14:paraId="69F4510F"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9299"/>
                  <w:gridCol w:w="6"/>
                  <w:gridCol w:w="6"/>
                </w:tblGrid>
                <w:tr w:rsidR="00806ABB" w:rsidRPr="002E191A" w14:paraId="45C8ED7D" w14:textId="77777777">
                  <w:trPr>
                    <w:trHeight w:val="132"/>
                  </w:trPr>
                  <w:tc>
                    <w:tcPr>
                      <w:tcW w:w="1919" w:type="dxa"/>
                      <w:tcBorders>
                        <w:top w:val="single" w:sz="4" w:space="0" w:color="auto"/>
                        <w:left w:val="nil"/>
                        <w:bottom w:val="nil"/>
                        <w:right w:val="nil"/>
                      </w:tcBorders>
                      <w:hideMark/>
                    </w:tcPr>
                    <w:tbl>
                      <w:tblPr>
                        <w:tblW w:w="9299" w:type="dxa"/>
                        <w:tblBorders>
                          <w:top w:val="single" w:sz="4" w:space="0" w:color="auto"/>
                        </w:tblBorders>
                        <w:tblCellMar>
                          <w:left w:w="0" w:type="dxa"/>
                          <w:right w:w="0" w:type="dxa"/>
                        </w:tblCellMar>
                        <w:tblLook w:val="01E0" w:firstRow="1" w:lastRow="1" w:firstColumn="1" w:lastColumn="1" w:noHBand="0" w:noVBand="0"/>
                      </w:tblPr>
                      <w:tblGrid>
                        <w:gridCol w:w="1950"/>
                        <w:gridCol w:w="4503"/>
                        <w:gridCol w:w="2846"/>
                      </w:tblGrid>
                      <w:tr w:rsidR="00806ABB" w:rsidRPr="002E191A" w14:paraId="479778A1" w14:textId="77777777">
                        <w:trPr>
                          <w:trHeight w:val="132"/>
                        </w:trPr>
                        <w:tc>
                          <w:tcPr>
                            <w:tcW w:w="1919" w:type="dxa"/>
                            <w:tcBorders>
                              <w:top w:val="single" w:sz="4" w:space="0" w:color="auto"/>
                              <w:left w:val="nil"/>
                              <w:bottom w:val="nil"/>
                              <w:right w:val="nil"/>
                            </w:tcBorders>
                            <w:hideMark/>
                          </w:tcPr>
                          <w:p w14:paraId="71C39227" w14:textId="77777777" w:rsidR="00806ABB" w:rsidRDefault="00806ABB" w:rsidP="00806ABB">
                            <w:pPr>
                              <w:spacing w:after="0"/>
                              <w:rPr>
                                <w:rFonts w:ascii="Times New Roman" w:hAnsi="Times New Roman"/>
                                <w:sz w:val="16"/>
                                <w:szCs w:val="16"/>
                                <w:lang w:val="de-DE"/>
                              </w:rPr>
                            </w:pPr>
                            <w:r>
                              <w:rPr>
                                <w:rFonts w:ascii="Times New Roman" w:hAnsi="Times New Roman"/>
                                <w:noProof/>
                                <w:sz w:val="16"/>
                                <w:szCs w:val="16"/>
                                <w:lang w:val="de-DE" w:eastAsia="de-DE"/>
                              </w:rPr>
                              <w:drawing>
                                <wp:inline distT="0" distB="0" distL="0" distR="0" wp14:anchorId="58216B48" wp14:editId="151DA132">
                                  <wp:extent cx="1238250" cy="533400"/>
                                  <wp:effectExtent l="0" t="0" r="0" b="0"/>
                                  <wp:docPr id="1" name="Grafik 1" descr="Logo-Deutsches-Polen-Institut_jpg_1000x800_q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Logo-Deutsches-Polen-Institut_jpg_1000x800_q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33400"/>
                                          </a:xfrm>
                                          <a:prstGeom prst="rect">
                                            <a:avLst/>
                                          </a:prstGeom>
                                          <a:noFill/>
                                          <a:ln>
                                            <a:noFill/>
                                          </a:ln>
                                        </pic:spPr>
                                      </pic:pic>
                                    </a:graphicData>
                                  </a:graphic>
                                </wp:inline>
                              </w:drawing>
                            </w:r>
                          </w:p>
                        </w:tc>
                        <w:tc>
                          <w:tcPr>
                            <w:tcW w:w="4519" w:type="dxa"/>
                            <w:tcBorders>
                              <w:top w:val="single" w:sz="4" w:space="0" w:color="auto"/>
                              <w:left w:val="nil"/>
                              <w:bottom w:val="nil"/>
                              <w:right w:val="nil"/>
                            </w:tcBorders>
                            <w:hideMark/>
                          </w:tcPr>
                          <w:p w14:paraId="76CAE238" w14:textId="77777777" w:rsidR="00806ABB" w:rsidRDefault="00806ABB" w:rsidP="00806ABB">
                            <w:pPr>
                              <w:pStyle w:val="RahmenFuzeile"/>
                              <w:jc w:val="center"/>
                              <w:rPr>
                                <w:rFonts w:ascii="Times New Roman" w:hAnsi="Times New Roman"/>
                                <w:szCs w:val="16"/>
                              </w:rPr>
                            </w:pPr>
                            <w:r>
                              <w:rPr>
                                <w:rFonts w:ascii="Times New Roman" w:hAnsi="Times New Roman"/>
                                <w:szCs w:val="16"/>
                              </w:rPr>
                              <w:t>www.poleninderschule.de</w:t>
                            </w:r>
                          </w:p>
                        </w:tc>
                        <w:tc>
                          <w:tcPr>
                            <w:tcW w:w="2861" w:type="dxa"/>
                            <w:tcBorders>
                              <w:top w:val="single" w:sz="4" w:space="0" w:color="auto"/>
                              <w:left w:val="nil"/>
                              <w:bottom w:val="nil"/>
                              <w:right w:val="nil"/>
                            </w:tcBorders>
                            <w:hideMark/>
                          </w:tcPr>
                          <w:p w14:paraId="60556884" w14:textId="77777777" w:rsidR="00806ABB" w:rsidRDefault="00806ABB" w:rsidP="00806ABB">
                            <w:pPr>
                              <w:pStyle w:val="RahmenFuzeile"/>
                              <w:jc w:val="right"/>
                              <w:rPr>
                                <w:rFonts w:ascii="Times New Roman" w:hAnsi="Times New Roman"/>
                                <w:szCs w:val="16"/>
                              </w:rPr>
                            </w:pPr>
                            <w:r>
                              <w:rPr>
                                <w:rFonts w:ascii="Times New Roman" w:hAnsi="Times New Roman"/>
                                <w:szCs w:val="16"/>
                              </w:rPr>
                              <w:t xml:space="preserve">Seite </w:t>
                            </w:r>
                            <w:r>
                              <w:rPr>
                                <w:rFonts w:ascii="Times New Roman" w:hAnsi="Times New Roman"/>
                                <w:szCs w:val="16"/>
                              </w:rPr>
                              <w:fldChar w:fldCharType="begin"/>
                            </w:r>
                            <w:r>
                              <w:rPr>
                                <w:rFonts w:ascii="Times New Roman" w:hAnsi="Times New Roman"/>
                                <w:szCs w:val="16"/>
                              </w:rPr>
                              <w:instrText xml:space="preserve"> PAGE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t xml:space="preserve"> von </w:t>
                            </w:r>
                            <w:r>
                              <w:rPr>
                                <w:rFonts w:ascii="Times New Roman" w:hAnsi="Times New Roman"/>
                                <w:szCs w:val="16"/>
                              </w:rPr>
                              <w:fldChar w:fldCharType="begin"/>
                            </w:r>
                            <w:r>
                              <w:rPr>
                                <w:rFonts w:ascii="Times New Roman" w:hAnsi="Times New Roman"/>
                                <w:szCs w:val="16"/>
                              </w:rPr>
                              <w:instrText xml:space="preserve"> NUMPAGES </w:instrText>
                            </w:r>
                            <w:r>
                              <w:rPr>
                                <w:rFonts w:ascii="Times New Roman" w:hAnsi="Times New Roman"/>
                                <w:szCs w:val="16"/>
                              </w:rPr>
                              <w:fldChar w:fldCharType="separate"/>
                            </w:r>
                            <w:r w:rsidR="007847C7">
                              <w:rPr>
                                <w:rFonts w:ascii="Times New Roman" w:hAnsi="Times New Roman"/>
                                <w:noProof/>
                                <w:szCs w:val="16"/>
                              </w:rPr>
                              <w:t>5</w:t>
                            </w:r>
                            <w:r>
                              <w:rPr>
                                <w:rFonts w:ascii="Times New Roman" w:hAnsi="Times New Roman"/>
                                <w:szCs w:val="16"/>
                              </w:rPr>
                              <w:fldChar w:fldCharType="end"/>
                            </w:r>
                            <w:r>
                              <w:rPr>
                                <w:rFonts w:ascii="Times New Roman" w:hAnsi="Times New Roman"/>
                                <w:szCs w:val="16"/>
                              </w:rPr>
                              <w:br/>
                            </w:r>
                          </w:p>
                        </w:tc>
                      </w:tr>
                    </w:tbl>
                    <w:p w14:paraId="18FB88D0" w14:textId="12460B8E" w:rsidR="00806ABB" w:rsidRPr="004A368D" w:rsidRDefault="00806ABB" w:rsidP="00806ABB">
                      <w:pPr>
                        <w:spacing w:after="0"/>
                        <w:rPr>
                          <w:rFonts w:ascii="Times New Roman" w:hAnsi="Times New Roman"/>
                          <w:i/>
                          <w:iCs/>
                          <w:sz w:val="16"/>
                          <w:szCs w:val="16"/>
                          <w:lang w:val="de-DE"/>
                        </w:rPr>
                      </w:pPr>
                    </w:p>
                  </w:tc>
                  <w:tc>
                    <w:tcPr>
                      <w:tcW w:w="4519" w:type="dxa"/>
                      <w:tcBorders>
                        <w:top w:val="single" w:sz="4" w:space="0" w:color="auto"/>
                        <w:left w:val="nil"/>
                        <w:bottom w:val="nil"/>
                        <w:right w:val="nil"/>
                      </w:tcBorders>
                    </w:tcPr>
                    <w:p w14:paraId="04BC629E"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4A1FECB6" w14:textId="77777777" w:rsidR="00806ABB" w:rsidRDefault="00806ABB" w:rsidP="00806ABB">
                      <w:pPr>
                        <w:pStyle w:val="RahmenFuzeile"/>
                        <w:jc w:val="right"/>
                        <w:rPr>
                          <w:rFonts w:ascii="Times New Roman" w:hAnsi="Times New Roman"/>
                          <w:szCs w:val="16"/>
                        </w:rPr>
                      </w:pPr>
                    </w:p>
                  </w:tc>
                </w:tr>
              </w:tbl>
              <w:p w14:paraId="484BB96A"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1C14EBA8"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9A13ED5" w14:textId="77777777" w:rsidR="00806ABB" w:rsidRDefault="00806ABB" w:rsidP="00806ABB">
                <w:pPr>
                  <w:pStyle w:val="RahmenFuzeile"/>
                  <w:jc w:val="right"/>
                  <w:rPr>
                    <w:rFonts w:ascii="Times New Roman" w:hAnsi="Times New Roman"/>
                    <w:szCs w:val="16"/>
                  </w:rPr>
                </w:pPr>
              </w:p>
            </w:tc>
          </w:tr>
        </w:tbl>
        <w:p w14:paraId="5CD6AAED" w14:textId="77777777" w:rsidR="00806ABB" w:rsidRPr="004A368D" w:rsidRDefault="00806ABB" w:rsidP="00806ABB">
          <w:pPr>
            <w:spacing w:after="0"/>
            <w:rPr>
              <w:rFonts w:ascii="Times New Roman" w:hAnsi="Times New Roman"/>
              <w:sz w:val="16"/>
              <w:szCs w:val="16"/>
              <w:lang w:val="de-DE"/>
            </w:rPr>
          </w:pPr>
        </w:p>
      </w:tc>
      <w:tc>
        <w:tcPr>
          <w:tcW w:w="4519" w:type="dxa"/>
          <w:tcBorders>
            <w:top w:val="single" w:sz="4" w:space="0" w:color="auto"/>
            <w:left w:val="nil"/>
            <w:bottom w:val="nil"/>
            <w:right w:val="nil"/>
          </w:tcBorders>
        </w:tcPr>
        <w:p w14:paraId="32683751" w14:textId="77777777" w:rsidR="00806ABB" w:rsidRDefault="00806ABB" w:rsidP="00806ABB">
          <w:pPr>
            <w:pStyle w:val="RahmenFuzeile"/>
            <w:jc w:val="center"/>
            <w:rPr>
              <w:rFonts w:ascii="Times New Roman" w:hAnsi="Times New Roman"/>
              <w:szCs w:val="16"/>
            </w:rPr>
          </w:pPr>
        </w:p>
      </w:tc>
      <w:tc>
        <w:tcPr>
          <w:tcW w:w="2861" w:type="dxa"/>
          <w:tcBorders>
            <w:top w:val="single" w:sz="4" w:space="0" w:color="auto"/>
            <w:left w:val="nil"/>
            <w:bottom w:val="nil"/>
            <w:right w:val="nil"/>
          </w:tcBorders>
        </w:tcPr>
        <w:p w14:paraId="631EE382" w14:textId="77777777" w:rsidR="00806ABB" w:rsidRDefault="00806ABB" w:rsidP="00806ABB">
          <w:pPr>
            <w:pStyle w:val="RahmenFuzeile"/>
            <w:jc w:val="right"/>
            <w:rPr>
              <w:rFonts w:ascii="Times New Roman" w:hAnsi="Times New Roman"/>
              <w:szCs w:val="16"/>
            </w:rPr>
          </w:pPr>
        </w:p>
      </w:tc>
    </w:tr>
  </w:tbl>
  <w:p w14:paraId="42FB1A8D" w14:textId="77777777" w:rsidR="00806ABB" w:rsidRPr="004A368D" w:rsidRDefault="00806ABB">
    <w:pPr>
      <w:pStyle w:val="Fuzeile"/>
      <w:rPr>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B3BE" w14:textId="77777777" w:rsidR="005464A3" w:rsidRDefault="005464A3" w:rsidP="00806ABB">
      <w:pPr>
        <w:spacing w:after="0" w:line="240" w:lineRule="auto"/>
      </w:pPr>
      <w:r>
        <w:separator/>
      </w:r>
    </w:p>
  </w:footnote>
  <w:footnote w:type="continuationSeparator" w:id="0">
    <w:p w14:paraId="41BE24B7" w14:textId="77777777" w:rsidR="005464A3" w:rsidRDefault="005464A3" w:rsidP="00806A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20" w:type="dxa"/>
      <w:tblInd w:w="57" w:type="dxa"/>
      <w:tblBorders>
        <w:bottom w:val="single" w:sz="4" w:space="0" w:color="auto"/>
      </w:tblBorders>
      <w:tblLayout w:type="fixed"/>
      <w:tblCellMar>
        <w:left w:w="57" w:type="dxa"/>
        <w:right w:w="57" w:type="dxa"/>
      </w:tblCellMar>
      <w:tblLook w:val="01E0" w:firstRow="1" w:lastRow="1" w:firstColumn="1" w:lastColumn="1" w:noHBand="0" w:noVBand="0"/>
    </w:tblPr>
    <w:tblGrid>
      <w:gridCol w:w="6951"/>
      <w:gridCol w:w="1769"/>
      <w:gridCol w:w="1000"/>
    </w:tblGrid>
    <w:tr w:rsidR="00806ABB" w14:paraId="6A908F34" w14:textId="77777777" w:rsidTr="00806ABB">
      <w:trPr>
        <w:trHeight w:val="272"/>
      </w:trPr>
      <w:tc>
        <w:tcPr>
          <w:tcW w:w="6946" w:type="dxa"/>
          <w:tcBorders>
            <w:top w:val="nil"/>
            <w:left w:val="nil"/>
            <w:bottom w:val="nil"/>
            <w:right w:val="nil"/>
          </w:tcBorders>
          <w:hideMark/>
        </w:tcPr>
        <w:p w14:paraId="2A099A31" w14:textId="77777777" w:rsidR="00806ABB" w:rsidRDefault="00806ABB" w:rsidP="00806ABB">
          <w:pPr>
            <w:pStyle w:val="0berschrift4"/>
          </w:pPr>
          <w:r>
            <w:rPr>
              <w:noProof/>
              <w:lang w:eastAsia="de-DE"/>
            </w:rPr>
            <mc:AlternateContent>
              <mc:Choice Requires="wps">
                <w:drawing>
                  <wp:anchor distT="0" distB="0" distL="114300" distR="114300" simplePos="0" relativeHeight="251658240" behindDoc="0" locked="0" layoutInCell="1" allowOverlap="1" wp14:anchorId="0AEB56E1" wp14:editId="01709C1B">
                    <wp:simplePos x="0" y="0"/>
                    <wp:positionH relativeFrom="margin">
                      <wp:posOffset>-501015</wp:posOffset>
                    </wp:positionH>
                    <wp:positionV relativeFrom="paragraph">
                      <wp:posOffset>-443230</wp:posOffset>
                    </wp:positionV>
                    <wp:extent cx="278130" cy="10634345"/>
                    <wp:effectExtent l="0" t="0" r="7620" b="1460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10634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DB9A8" w14:textId="77777777" w:rsidR="00806ABB" w:rsidRDefault="00806ABB" w:rsidP="00806ABB">
                                <w:pPr>
                                  <w:pStyle w:val="RahmenCopyrightvermerk"/>
                                  <w:jc w:val="left"/>
                                </w:pPr>
                              </w:p>
                            </w:txbxContent>
                          </wps:txbx>
                          <wps:bodyPr rot="0" vertOverflow="clip" horzOverflow="clip"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w16sdtdh="http://schemas.microsoft.com/office/word/2020/wordml/sdtdatahash">
                <w:pict>
                  <v:shapetype w14:anchorId="0AEB56E1" id="_x0000_t202" coordsize="21600,21600" o:spt="202" path="m,l,21600r21600,l21600,xe">
                    <v:stroke joinstyle="miter"/>
                    <v:path gradientshapeok="t" o:connecttype="rect"/>
                  </v:shapetype>
                  <v:shape id="Textfeld 2" o:spid="_x0000_s1026" type="#_x0000_t202" style="position:absolute;margin-left:-39.45pt;margin-top:-34.9pt;width:21.9pt;height:837.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" filled="f" stroked="f">
                    <v:textbox style="layout-flow:vertical;mso-layout-flow-alt:bottom-to-top" inset="0,0,0,0">
                      <w:txbxContent>
                        <w:p w14:paraId="2CBDB9A8" w14:textId="77777777" w:rsidR="00806ABB" w:rsidRDefault="00806ABB" w:rsidP="00806ABB">
                          <w:pPr>
                            <w:pStyle w:val="RahmenCopyrightvermerk"/>
                            <w:jc w:val="left"/>
                          </w:pPr>
                        </w:p>
                      </w:txbxContent>
                    </v:textbox>
                    <w10:wrap anchorx="margin"/>
                  </v:shape>
                </w:pict>
              </mc:Fallback>
            </mc:AlternateContent>
          </w:r>
          <w:r w:rsidR="00FC0568">
            <w:rPr>
              <w:sz w:val="20"/>
            </w:rPr>
            <w:t xml:space="preserve">Polen </w:t>
          </w:r>
          <w:r w:rsidR="00D70F9A">
            <w:rPr>
              <w:sz w:val="20"/>
            </w:rPr>
            <w:t>und die Europäische Union</w:t>
          </w:r>
        </w:p>
      </w:tc>
      <w:tc>
        <w:tcPr>
          <w:tcW w:w="2767" w:type="dxa"/>
          <w:gridSpan w:val="2"/>
          <w:tcBorders>
            <w:top w:val="nil"/>
            <w:left w:val="nil"/>
            <w:bottom w:val="nil"/>
            <w:right w:val="nil"/>
          </w:tcBorders>
          <w:hideMark/>
        </w:tcPr>
        <w:p w14:paraId="4D6D061E" w14:textId="77777777" w:rsidR="00806ABB" w:rsidRDefault="00806ABB" w:rsidP="00806ABB">
          <w:pPr>
            <w:pStyle w:val="0berschrift4"/>
          </w:pPr>
          <w:r>
            <w:rPr>
              <w:b/>
              <w:sz w:val="20"/>
            </w:rPr>
            <w:t>Politik und Gesellschaft</w:t>
          </w:r>
        </w:p>
      </w:tc>
    </w:tr>
    <w:tr w:rsidR="00806ABB" w14:paraId="32B9EC35" w14:textId="77777777" w:rsidTr="00806ABB">
      <w:trPr>
        <w:trHeight w:val="272"/>
      </w:trPr>
      <w:tc>
        <w:tcPr>
          <w:tcW w:w="8714" w:type="dxa"/>
          <w:gridSpan w:val="2"/>
          <w:tcBorders>
            <w:top w:val="nil"/>
            <w:left w:val="nil"/>
            <w:bottom w:val="single" w:sz="4" w:space="0" w:color="auto"/>
            <w:right w:val="nil"/>
          </w:tcBorders>
        </w:tcPr>
        <w:p w14:paraId="46D2A3B8" w14:textId="77777777" w:rsidR="00806ABB" w:rsidRDefault="00806ABB" w:rsidP="00806ABB">
          <w:pPr>
            <w:pStyle w:val="1Standardflietext"/>
            <w:tabs>
              <w:tab w:val="left" w:pos="2100"/>
            </w:tabs>
            <w:spacing w:after="0"/>
            <w:rPr>
              <w:i/>
            </w:rPr>
          </w:pPr>
        </w:p>
      </w:tc>
      <w:tc>
        <w:tcPr>
          <w:tcW w:w="999" w:type="dxa"/>
          <w:tcBorders>
            <w:top w:val="nil"/>
            <w:left w:val="nil"/>
            <w:bottom w:val="single" w:sz="4" w:space="0" w:color="auto"/>
            <w:right w:val="nil"/>
          </w:tcBorders>
        </w:tcPr>
        <w:p w14:paraId="19DF9DEA" w14:textId="77777777" w:rsidR="00806ABB" w:rsidRDefault="00806ABB" w:rsidP="00806ABB">
          <w:pPr>
            <w:pStyle w:val="RahmenKopfzeilerechts"/>
            <w:rPr>
              <w:rStyle w:val="RahmenKopfzeilerechtsZchnZchn"/>
            </w:rPr>
          </w:pPr>
        </w:p>
      </w:tc>
    </w:tr>
  </w:tbl>
  <w:p w14:paraId="21A76AB3" w14:textId="77777777" w:rsidR="00806ABB" w:rsidRDefault="00806AB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1E7EC3"/>
    <w:multiLevelType w:val="hybridMultilevel"/>
    <w:tmpl w:val="3E0E20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E523C9"/>
    <w:multiLevelType w:val="hybridMultilevel"/>
    <w:tmpl w:val="4060258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D875E5D"/>
    <w:multiLevelType w:val="hybridMultilevel"/>
    <w:tmpl w:val="19CCFC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1EB"/>
    <w:rsid w:val="00002D1A"/>
    <w:rsid w:val="00005066"/>
    <w:rsid w:val="000051EB"/>
    <w:rsid w:val="00015F8A"/>
    <w:rsid w:val="00037A06"/>
    <w:rsid w:val="00041942"/>
    <w:rsid w:val="00042007"/>
    <w:rsid w:val="000437EF"/>
    <w:rsid w:val="00043884"/>
    <w:rsid w:val="00074FA1"/>
    <w:rsid w:val="00077CB6"/>
    <w:rsid w:val="000902D0"/>
    <w:rsid w:val="0009052D"/>
    <w:rsid w:val="000A19BD"/>
    <w:rsid w:val="000A3C8D"/>
    <w:rsid w:val="000B4604"/>
    <w:rsid w:val="000C34FD"/>
    <w:rsid w:val="000C6934"/>
    <w:rsid w:val="000E6366"/>
    <w:rsid w:val="000F0822"/>
    <w:rsid w:val="001344B3"/>
    <w:rsid w:val="00136AE9"/>
    <w:rsid w:val="00140FD9"/>
    <w:rsid w:val="00153C04"/>
    <w:rsid w:val="0016230B"/>
    <w:rsid w:val="00166A89"/>
    <w:rsid w:val="00181C63"/>
    <w:rsid w:val="001A3735"/>
    <w:rsid w:val="001A38C8"/>
    <w:rsid w:val="001A4A8E"/>
    <w:rsid w:val="001B7D81"/>
    <w:rsid w:val="001C12A2"/>
    <w:rsid w:val="001C457F"/>
    <w:rsid w:val="001C4E28"/>
    <w:rsid w:val="00206261"/>
    <w:rsid w:val="002160D4"/>
    <w:rsid w:val="00232892"/>
    <w:rsid w:val="00234635"/>
    <w:rsid w:val="0023773B"/>
    <w:rsid w:val="00260386"/>
    <w:rsid w:val="00262AFE"/>
    <w:rsid w:val="002879CA"/>
    <w:rsid w:val="002948A4"/>
    <w:rsid w:val="00296488"/>
    <w:rsid w:val="00297293"/>
    <w:rsid w:val="002977EF"/>
    <w:rsid w:val="002A03DC"/>
    <w:rsid w:val="002B1504"/>
    <w:rsid w:val="002B74BF"/>
    <w:rsid w:val="002C4580"/>
    <w:rsid w:val="002E191A"/>
    <w:rsid w:val="002F46CD"/>
    <w:rsid w:val="003151F2"/>
    <w:rsid w:val="00315D95"/>
    <w:rsid w:val="0031720D"/>
    <w:rsid w:val="003625C7"/>
    <w:rsid w:val="00386237"/>
    <w:rsid w:val="003911EB"/>
    <w:rsid w:val="00394022"/>
    <w:rsid w:val="0039727B"/>
    <w:rsid w:val="003B363C"/>
    <w:rsid w:val="003C4813"/>
    <w:rsid w:val="00403BF4"/>
    <w:rsid w:val="00405C7D"/>
    <w:rsid w:val="004115CD"/>
    <w:rsid w:val="00420626"/>
    <w:rsid w:val="004252E2"/>
    <w:rsid w:val="00427FB2"/>
    <w:rsid w:val="0043050D"/>
    <w:rsid w:val="00446FC0"/>
    <w:rsid w:val="0045055B"/>
    <w:rsid w:val="004711E6"/>
    <w:rsid w:val="0047352D"/>
    <w:rsid w:val="0047563B"/>
    <w:rsid w:val="004A03E0"/>
    <w:rsid w:val="004A368D"/>
    <w:rsid w:val="004A3D48"/>
    <w:rsid w:val="004A5394"/>
    <w:rsid w:val="004B167B"/>
    <w:rsid w:val="004B4375"/>
    <w:rsid w:val="004B43BB"/>
    <w:rsid w:val="004B4B1C"/>
    <w:rsid w:val="004C0556"/>
    <w:rsid w:val="004D3606"/>
    <w:rsid w:val="004F0C89"/>
    <w:rsid w:val="004F357B"/>
    <w:rsid w:val="004F5589"/>
    <w:rsid w:val="0050788F"/>
    <w:rsid w:val="0054617E"/>
    <w:rsid w:val="005464A3"/>
    <w:rsid w:val="005465DB"/>
    <w:rsid w:val="005539F2"/>
    <w:rsid w:val="005551FB"/>
    <w:rsid w:val="005626C0"/>
    <w:rsid w:val="00586FB4"/>
    <w:rsid w:val="005A2004"/>
    <w:rsid w:val="005C4851"/>
    <w:rsid w:val="005C70E0"/>
    <w:rsid w:val="00601EB2"/>
    <w:rsid w:val="006174C2"/>
    <w:rsid w:val="00644E48"/>
    <w:rsid w:val="0066159F"/>
    <w:rsid w:val="00667E6D"/>
    <w:rsid w:val="006A68E0"/>
    <w:rsid w:val="006B69F6"/>
    <w:rsid w:val="006C5F9E"/>
    <w:rsid w:val="006D0C4D"/>
    <w:rsid w:val="006D16D9"/>
    <w:rsid w:val="006E2DA9"/>
    <w:rsid w:val="006E35EB"/>
    <w:rsid w:val="006F6F30"/>
    <w:rsid w:val="00702CF9"/>
    <w:rsid w:val="00703DD9"/>
    <w:rsid w:val="0070543D"/>
    <w:rsid w:val="00710893"/>
    <w:rsid w:val="00723692"/>
    <w:rsid w:val="00723975"/>
    <w:rsid w:val="007257E4"/>
    <w:rsid w:val="007404F1"/>
    <w:rsid w:val="00742DF9"/>
    <w:rsid w:val="00750492"/>
    <w:rsid w:val="007554CF"/>
    <w:rsid w:val="00765338"/>
    <w:rsid w:val="00775596"/>
    <w:rsid w:val="00783E68"/>
    <w:rsid w:val="007847C7"/>
    <w:rsid w:val="007A6751"/>
    <w:rsid w:val="007D009C"/>
    <w:rsid w:val="007F5BA4"/>
    <w:rsid w:val="0080638E"/>
    <w:rsid w:val="00806ABB"/>
    <w:rsid w:val="00810CFB"/>
    <w:rsid w:val="00817188"/>
    <w:rsid w:val="008175A2"/>
    <w:rsid w:val="00820611"/>
    <w:rsid w:val="00824AF1"/>
    <w:rsid w:val="00826DC3"/>
    <w:rsid w:val="00831634"/>
    <w:rsid w:val="00836DAD"/>
    <w:rsid w:val="00843FCE"/>
    <w:rsid w:val="00857DD4"/>
    <w:rsid w:val="00866464"/>
    <w:rsid w:val="00872E9D"/>
    <w:rsid w:val="008A0F00"/>
    <w:rsid w:val="008A498B"/>
    <w:rsid w:val="008B7083"/>
    <w:rsid w:val="008C24DD"/>
    <w:rsid w:val="008C3E56"/>
    <w:rsid w:val="008E1F79"/>
    <w:rsid w:val="008E7803"/>
    <w:rsid w:val="008F1608"/>
    <w:rsid w:val="008F26B8"/>
    <w:rsid w:val="00900200"/>
    <w:rsid w:val="00903616"/>
    <w:rsid w:val="00905356"/>
    <w:rsid w:val="00910334"/>
    <w:rsid w:val="00921230"/>
    <w:rsid w:val="0092505B"/>
    <w:rsid w:val="009265A5"/>
    <w:rsid w:val="009356D8"/>
    <w:rsid w:val="009765B5"/>
    <w:rsid w:val="009802A5"/>
    <w:rsid w:val="00995B25"/>
    <w:rsid w:val="009D76C7"/>
    <w:rsid w:val="009E07ED"/>
    <w:rsid w:val="009E28E5"/>
    <w:rsid w:val="009F55DD"/>
    <w:rsid w:val="00A13E36"/>
    <w:rsid w:val="00A2165D"/>
    <w:rsid w:val="00A35508"/>
    <w:rsid w:val="00A51EE9"/>
    <w:rsid w:val="00A56558"/>
    <w:rsid w:val="00A64961"/>
    <w:rsid w:val="00A754CD"/>
    <w:rsid w:val="00A77460"/>
    <w:rsid w:val="00A800D1"/>
    <w:rsid w:val="00A82C1C"/>
    <w:rsid w:val="00A83209"/>
    <w:rsid w:val="00A842E3"/>
    <w:rsid w:val="00AA1BD2"/>
    <w:rsid w:val="00AA34B1"/>
    <w:rsid w:val="00AA4C27"/>
    <w:rsid w:val="00AD340D"/>
    <w:rsid w:val="00AE18EB"/>
    <w:rsid w:val="00AE31D6"/>
    <w:rsid w:val="00AE5939"/>
    <w:rsid w:val="00B24EB9"/>
    <w:rsid w:val="00B45C47"/>
    <w:rsid w:val="00B74BC3"/>
    <w:rsid w:val="00B937D4"/>
    <w:rsid w:val="00BA1492"/>
    <w:rsid w:val="00BC3DE0"/>
    <w:rsid w:val="00BC5657"/>
    <w:rsid w:val="00BE48A6"/>
    <w:rsid w:val="00BF6590"/>
    <w:rsid w:val="00C11850"/>
    <w:rsid w:val="00C42AF4"/>
    <w:rsid w:val="00C60C0D"/>
    <w:rsid w:val="00C635D1"/>
    <w:rsid w:val="00C70C0E"/>
    <w:rsid w:val="00C80A67"/>
    <w:rsid w:val="00C80FE1"/>
    <w:rsid w:val="00CA72CA"/>
    <w:rsid w:val="00CB4D02"/>
    <w:rsid w:val="00CB4D73"/>
    <w:rsid w:val="00CB6CAD"/>
    <w:rsid w:val="00CD6927"/>
    <w:rsid w:val="00CE371C"/>
    <w:rsid w:val="00CF2FB7"/>
    <w:rsid w:val="00D443FA"/>
    <w:rsid w:val="00D650EE"/>
    <w:rsid w:val="00D6580C"/>
    <w:rsid w:val="00D674BF"/>
    <w:rsid w:val="00D70F9A"/>
    <w:rsid w:val="00D83ADA"/>
    <w:rsid w:val="00DA1CA5"/>
    <w:rsid w:val="00DA3BD5"/>
    <w:rsid w:val="00DB1B4E"/>
    <w:rsid w:val="00DD2261"/>
    <w:rsid w:val="00DD4F04"/>
    <w:rsid w:val="00DE14EF"/>
    <w:rsid w:val="00DE7902"/>
    <w:rsid w:val="00E17AE0"/>
    <w:rsid w:val="00E37C39"/>
    <w:rsid w:val="00E47645"/>
    <w:rsid w:val="00E579D4"/>
    <w:rsid w:val="00E610B9"/>
    <w:rsid w:val="00E649BB"/>
    <w:rsid w:val="00E76D86"/>
    <w:rsid w:val="00E87DA0"/>
    <w:rsid w:val="00EA4A4B"/>
    <w:rsid w:val="00EA7799"/>
    <w:rsid w:val="00EB061A"/>
    <w:rsid w:val="00ED3AA9"/>
    <w:rsid w:val="00ED7F26"/>
    <w:rsid w:val="00EF2842"/>
    <w:rsid w:val="00F25045"/>
    <w:rsid w:val="00F524F7"/>
    <w:rsid w:val="00F6013D"/>
    <w:rsid w:val="00F875C7"/>
    <w:rsid w:val="00F93777"/>
    <w:rsid w:val="00FB41E4"/>
    <w:rsid w:val="00FB4A82"/>
    <w:rsid w:val="00FC0568"/>
    <w:rsid w:val="00FE026B"/>
    <w:rsid w:val="00FF3B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4F89D5"/>
  <w15:chartTrackingRefBased/>
  <w15:docId w15:val="{B6570D17-F0D7-41D5-AC94-2DF5A738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lang w:val="pl-P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57DD4"/>
    <w:pPr>
      <w:ind w:left="720"/>
      <w:contextualSpacing/>
    </w:pPr>
  </w:style>
  <w:style w:type="character" w:styleId="Hyperlink">
    <w:name w:val="Hyperlink"/>
    <w:basedOn w:val="Absatz-Standardschriftart"/>
    <w:uiPriority w:val="99"/>
    <w:unhideWhenUsed/>
    <w:rsid w:val="00386237"/>
    <w:rPr>
      <w:color w:val="0563C1" w:themeColor="hyperlink"/>
      <w:u w:val="single"/>
    </w:rPr>
  </w:style>
  <w:style w:type="character" w:customStyle="1" w:styleId="NichtaufgelsteErwhnung1">
    <w:name w:val="Nicht aufgelöste Erwähnung1"/>
    <w:basedOn w:val="Absatz-Standardschriftart"/>
    <w:uiPriority w:val="99"/>
    <w:semiHidden/>
    <w:unhideWhenUsed/>
    <w:rsid w:val="00386237"/>
    <w:rPr>
      <w:color w:val="605E5C"/>
      <w:shd w:val="clear" w:color="auto" w:fill="E1DFDD"/>
    </w:rPr>
  </w:style>
  <w:style w:type="paragraph" w:styleId="Kopfzeile">
    <w:name w:val="header"/>
    <w:basedOn w:val="Standard"/>
    <w:link w:val="KopfzeileZchn"/>
    <w:uiPriority w:val="99"/>
    <w:unhideWhenUsed/>
    <w:rsid w:val="00806A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06ABB"/>
    <w:rPr>
      <w:lang w:val="pl-PL"/>
    </w:rPr>
  </w:style>
  <w:style w:type="paragraph" w:styleId="Fuzeile">
    <w:name w:val="footer"/>
    <w:basedOn w:val="Standard"/>
    <w:link w:val="FuzeileZchn"/>
    <w:uiPriority w:val="99"/>
    <w:unhideWhenUsed/>
    <w:rsid w:val="00806A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06ABB"/>
    <w:rPr>
      <w:lang w:val="pl-PL"/>
    </w:rPr>
  </w:style>
  <w:style w:type="paragraph" w:customStyle="1" w:styleId="RahmenFuzeile">
    <w:name w:val="* Rahmen Fußzeile"/>
    <w:basedOn w:val="Standard"/>
    <w:rsid w:val="00806ABB"/>
    <w:pPr>
      <w:spacing w:before="60" w:after="0" w:line="200" w:lineRule="exact"/>
    </w:pPr>
    <w:rPr>
      <w:rFonts w:ascii="Arial" w:eastAsia="Times New Roman" w:hAnsi="Arial" w:cs="Times New Roman"/>
      <w:sz w:val="16"/>
      <w:szCs w:val="20"/>
      <w:lang w:val="de-DE" w:eastAsia="de-DE"/>
    </w:rPr>
  </w:style>
  <w:style w:type="character" w:customStyle="1" w:styleId="1StandardflietextZchnZchn">
    <w:name w:val="* 1 Standardfließtext Zchn Zchn"/>
    <w:link w:val="1Standardflietext"/>
    <w:locked/>
    <w:rsid w:val="00806ABB"/>
    <w:rPr>
      <w:rFonts w:ascii="Arial" w:hAnsi="Arial" w:cs="Arial"/>
    </w:rPr>
  </w:style>
  <w:style w:type="paragraph" w:customStyle="1" w:styleId="1Standardflietext">
    <w:name w:val="* 1 Standardfließtext"/>
    <w:basedOn w:val="Standard"/>
    <w:link w:val="1StandardflietextZchnZchn"/>
    <w:qFormat/>
    <w:rsid w:val="00806ABB"/>
    <w:pPr>
      <w:spacing w:after="60" w:line="240" w:lineRule="exact"/>
    </w:pPr>
    <w:rPr>
      <w:rFonts w:ascii="Arial" w:hAnsi="Arial" w:cs="Arial"/>
      <w:lang w:val="de-DE"/>
    </w:rPr>
  </w:style>
  <w:style w:type="paragraph" w:customStyle="1" w:styleId="RahmenCopyrightvermerk">
    <w:name w:val="* Rahmen Copyrightvermerk"/>
    <w:basedOn w:val="1Standardflietext"/>
    <w:next w:val="Standard"/>
    <w:rsid w:val="00806ABB"/>
    <w:pPr>
      <w:autoSpaceDE w:val="0"/>
      <w:autoSpaceDN w:val="0"/>
      <w:adjustRightInd w:val="0"/>
      <w:spacing w:after="0" w:line="180" w:lineRule="exact"/>
      <w:jc w:val="center"/>
    </w:pPr>
    <w:rPr>
      <w:rFonts w:eastAsia="Arial Unicode MS"/>
      <w:color w:val="808080"/>
      <w:sz w:val="13"/>
      <w:szCs w:val="13"/>
    </w:rPr>
  </w:style>
  <w:style w:type="paragraph" w:customStyle="1" w:styleId="0berschrift4">
    <w:name w:val="* 0 Überschrift 4"/>
    <w:basedOn w:val="1Standardflietext"/>
    <w:qFormat/>
    <w:rsid w:val="00806ABB"/>
    <w:rPr>
      <w:i/>
    </w:rPr>
  </w:style>
  <w:style w:type="character" w:customStyle="1" w:styleId="RahmenKopfzeilerechtsZchnZchn">
    <w:name w:val="* Rahmen Kopfzeile_rechts Zchn Zchn"/>
    <w:link w:val="RahmenKopfzeilerechts"/>
    <w:locked/>
    <w:rsid w:val="00806ABB"/>
    <w:rPr>
      <w:rFonts w:ascii="Verdana" w:hAnsi="Verdana"/>
      <w:i/>
      <w:color w:val="000000"/>
      <w:sz w:val="28"/>
      <w:szCs w:val="30"/>
    </w:rPr>
  </w:style>
  <w:style w:type="paragraph" w:customStyle="1" w:styleId="RahmenKopfzeilerechts">
    <w:name w:val="* Rahmen Kopfzeile_rechts"/>
    <w:basedOn w:val="1Standardflietext"/>
    <w:next w:val="1Standardflietext"/>
    <w:link w:val="RahmenKopfzeilerechtsZchnZchn"/>
    <w:rsid w:val="00806ABB"/>
    <w:pPr>
      <w:autoSpaceDE w:val="0"/>
      <w:autoSpaceDN w:val="0"/>
      <w:adjustRightInd w:val="0"/>
      <w:spacing w:after="0" w:line="360" w:lineRule="exact"/>
      <w:ind w:right="-142"/>
      <w:jc w:val="right"/>
    </w:pPr>
    <w:rPr>
      <w:rFonts w:ascii="Verdana" w:hAnsi="Verdana" w:cstheme="minorBidi"/>
      <w:i/>
      <w:color w:val="000000"/>
      <w:sz w:val="28"/>
      <w:szCs w:val="30"/>
    </w:rPr>
  </w:style>
  <w:style w:type="character" w:customStyle="1" w:styleId="RahmenSymbol">
    <w:name w:val="* Rahmen Symbol"/>
    <w:rsid w:val="00806ABB"/>
    <w:rPr>
      <w:rFonts w:ascii="Webdings" w:hAnsi="Webdings" w:cs="Verdana" w:hint="default"/>
    </w:rPr>
  </w:style>
  <w:style w:type="table" w:styleId="Tabellenraster">
    <w:name w:val="Table Grid"/>
    <w:basedOn w:val="NormaleTabelle"/>
    <w:uiPriority w:val="39"/>
    <w:rsid w:val="00B74B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76D8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76D86"/>
    <w:rPr>
      <w:rFonts w:ascii="Segoe UI" w:hAnsi="Segoe UI" w:cs="Segoe UI"/>
      <w:sz w:val="18"/>
      <w:szCs w:val="18"/>
      <w:lang w:val="pl-PL"/>
    </w:rPr>
  </w:style>
  <w:style w:type="character" w:styleId="Kommentarzeichen">
    <w:name w:val="annotation reference"/>
    <w:basedOn w:val="Absatz-Standardschriftart"/>
    <w:uiPriority w:val="99"/>
    <w:semiHidden/>
    <w:unhideWhenUsed/>
    <w:rsid w:val="008C3E56"/>
    <w:rPr>
      <w:sz w:val="16"/>
      <w:szCs w:val="16"/>
    </w:rPr>
  </w:style>
  <w:style w:type="paragraph" w:styleId="Kommentartext">
    <w:name w:val="annotation text"/>
    <w:basedOn w:val="Standard"/>
    <w:link w:val="KommentartextZchn"/>
    <w:uiPriority w:val="99"/>
    <w:semiHidden/>
    <w:unhideWhenUsed/>
    <w:rsid w:val="008C3E5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E56"/>
    <w:rPr>
      <w:sz w:val="20"/>
      <w:szCs w:val="20"/>
      <w:lang w:val="pl-PL"/>
    </w:rPr>
  </w:style>
  <w:style w:type="paragraph" w:styleId="Kommentarthema">
    <w:name w:val="annotation subject"/>
    <w:basedOn w:val="Kommentartext"/>
    <w:next w:val="Kommentartext"/>
    <w:link w:val="KommentarthemaZchn"/>
    <w:uiPriority w:val="99"/>
    <w:semiHidden/>
    <w:unhideWhenUsed/>
    <w:rsid w:val="008C3E56"/>
    <w:rPr>
      <w:b/>
      <w:bCs/>
    </w:rPr>
  </w:style>
  <w:style w:type="character" w:customStyle="1" w:styleId="KommentarthemaZchn">
    <w:name w:val="Kommentarthema Zchn"/>
    <w:basedOn w:val="KommentartextZchn"/>
    <w:link w:val="Kommentarthema"/>
    <w:uiPriority w:val="99"/>
    <w:semiHidden/>
    <w:rsid w:val="008C3E56"/>
    <w:rPr>
      <w:b/>
      <w:bCs/>
      <w:sz w:val="20"/>
      <w:szCs w:val="20"/>
      <w:lang w:val="pl-PL"/>
    </w:rPr>
  </w:style>
  <w:style w:type="paragraph" w:styleId="berarbeitung">
    <w:name w:val="Revision"/>
    <w:hidden/>
    <w:uiPriority w:val="99"/>
    <w:semiHidden/>
    <w:rsid w:val="00586FB4"/>
    <w:pPr>
      <w:spacing w:after="0" w:line="240" w:lineRule="auto"/>
    </w:pPr>
    <w:rPr>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35738">
      <w:bodyDiv w:val="1"/>
      <w:marLeft w:val="0"/>
      <w:marRight w:val="0"/>
      <w:marTop w:val="0"/>
      <w:marBottom w:val="0"/>
      <w:divBdr>
        <w:top w:val="none" w:sz="0" w:space="0" w:color="auto"/>
        <w:left w:val="none" w:sz="0" w:space="0" w:color="auto"/>
        <w:bottom w:val="none" w:sz="0" w:space="0" w:color="auto"/>
        <w:right w:val="none" w:sz="0" w:space="0" w:color="auto"/>
      </w:divBdr>
    </w:div>
    <w:div w:id="806509592">
      <w:bodyDiv w:val="1"/>
      <w:marLeft w:val="0"/>
      <w:marRight w:val="0"/>
      <w:marTop w:val="0"/>
      <w:marBottom w:val="0"/>
      <w:divBdr>
        <w:top w:val="none" w:sz="0" w:space="0" w:color="auto"/>
        <w:left w:val="none" w:sz="0" w:space="0" w:color="auto"/>
        <w:bottom w:val="none" w:sz="0" w:space="0" w:color="auto"/>
        <w:right w:val="none" w:sz="0" w:space="0" w:color="auto"/>
      </w:divBdr>
    </w:div>
    <w:div w:id="821123704">
      <w:bodyDiv w:val="1"/>
      <w:marLeft w:val="0"/>
      <w:marRight w:val="0"/>
      <w:marTop w:val="0"/>
      <w:marBottom w:val="0"/>
      <w:divBdr>
        <w:top w:val="none" w:sz="0" w:space="0" w:color="auto"/>
        <w:left w:val="none" w:sz="0" w:space="0" w:color="auto"/>
        <w:bottom w:val="none" w:sz="0" w:space="0" w:color="auto"/>
        <w:right w:val="none" w:sz="0" w:space="0" w:color="auto"/>
      </w:divBdr>
    </w:div>
    <w:div w:id="1015225169">
      <w:bodyDiv w:val="1"/>
      <w:marLeft w:val="0"/>
      <w:marRight w:val="0"/>
      <w:marTop w:val="0"/>
      <w:marBottom w:val="0"/>
      <w:divBdr>
        <w:top w:val="none" w:sz="0" w:space="0" w:color="auto"/>
        <w:left w:val="none" w:sz="0" w:space="0" w:color="auto"/>
        <w:bottom w:val="none" w:sz="0" w:space="0" w:color="auto"/>
        <w:right w:val="none" w:sz="0" w:space="0" w:color="auto"/>
      </w:divBdr>
    </w:div>
    <w:div w:id="1066218916">
      <w:bodyDiv w:val="1"/>
      <w:marLeft w:val="0"/>
      <w:marRight w:val="0"/>
      <w:marTop w:val="0"/>
      <w:marBottom w:val="0"/>
      <w:divBdr>
        <w:top w:val="none" w:sz="0" w:space="0" w:color="auto"/>
        <w:left w:val="none" w:sz="0" w:space="0" w:color="auto"/>
        <w:bottom w:val="none" w:sz="0" w:space="0" w:color="auto"/>
        <w:right w:val="none" w:sz="0" w:space="0" w:color="auto"/>
      </w:divBdr>
    </w:div>
    <w:div w:id="1184595250">
      <w:bodyDiv w:val="1"/>
      <w:marLeft w:val="0"/>
      <w:marRight w:val="0"/>
      <w:marTop w:val="0"/>
      <w:marBottom w:val="0"/>
      <w:divBdr>
        <w:top w:val="none" w:sz="0" w:space="0" w:color="auto"/>
        <w:left w:val="none" w:sz="0" w:space="0" w:color="auto"/>
        <w:bottom w:val="none" w:sz="0" w:space="0" w:color="auto"/>
        <w:right w:val="none" w:sz="0" w:space="0" w:color="auto"/>
      </w:divBdr>
    </w:div>
    <w:div w:id="1812869986">
      <w:bodyDiv w:val="1"/>
      <w:marLeft w:val="0"/>
      <w:marRight w:val="0"/>
      <w:marTop w:val="0"/>
      <w:marBottom w:val="0"/>
      <w:divBdr>
        <w:top w:val="none" w:sz="0" w:space="0" w:color="auto"/>
        <w:left w:val="none" w:sz="0" w:space="0" w:color="auto"/>
        <w:bottom w:val="none" w:sz="0" w:space="0" w:color="auto"/>
        <w:right w:val="none" w:sz="0" w:space="0" w:color="auto"/>
      </w:divBdr>
    </w:div>
    <w:div w:id="1867252705">
      <w:bodyDiv w:val="1"/>
      <w:marLeft w:val="0"/>
      <w:marRight w:val="0"/>
      <w:marTop w:val="0"/>
      <w:marBottom w:val="0"/>
      <w:divBdr>
        <w:top w:val="none" w:sz="0" w:space="0" w:color="auto"/>
        <w:left w:val="none" w:sz="0" w:space="0" w:color="auto"/>
        <w:bottom w:val="none" w:sz="0" w:space="0" w:color="auto"/>
        <w:right w:val="none" w:sz="0" w:space="0" w:color="auto"/>
      </w:divBdr>
    </w:div>
    <w:div w:id="2053339983">
      <w:bodyDiv w:val="1"/>
      <w:marLeft w:val="0"/>
      <w:marRight w:val="0"/>
      <w:marTop w:val="0"/>
      <w:marBottom w:val="0"/>
      <w:divBdr>
        <w:top w:val="none" w:sz="0" w:space="0" w:color="auto"/>
        <w:left w:val="none" w:sz="0" w:space="0" w:color="auto"/>
        <w:bottom w:val="none" w:sz="0" w:space="0" w:color="auto"/>
        <w:right w:val="none" w:sz="0" w:space="0" w:color="auto"/>
      </w:divBdr>
    </w:div>
    <w:div w:id="211216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1338</Words>
  <Characters>8434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alexg</dc:creator>
  <cp:keywords/>
  <dc:description/>
  <cp:lastModifiedBy>Markus Krzoska</cp:lastModifiedBy>
  <cp:revision>4</cp:revision>
  <cp:lastPrinted>2022-01-27T15:25:00Z</cp:lastPrinted>
  <dcterms:created xsi:type="dcterms:W3CDTF">2022-01-27T15:25:00Z</dcterms:created>
  <dcterms:modified xsi:type="dcterms:W3CDTF">2022-01-27T15:29:00Z</dcterms:modified>
</cp:coreProperties>
</file>