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78" w:rsidRDefault="001919B8" w:rsidP="00DD0C62">
      <w:pPr>
        <w:spacing w:after="0" w:line="240" w:lineRule="auto"/>
        <w:rPr>
          <w:rFonts w:cs="Arial"/>
          <w:b/>
          <w:i/>
          <w:sz w:val="24"/>
          <w:szCs w:val="22"/>
          <w:u w:val="single"/>
        </w:rPr>
      </w:pPr>
      <w:r>
        <w:rPr>
          <w:rFonts w:cs="Arial"/>
          <w:b/>
          <w:i/>
          <w:noProof/>
          <w:sz w:val="24"/>
          <w:szCs w:val="22"/>
          <w:u w:val="single"/>
        </w:rPr>
        <w:drawing>
          <wp:inline distT="0" distB="0" distL="0" distR="0" wp14:anchorId="20F6E3C5" wp14:editId="35C73CEB">
            <wp:extent cx="5859780" cy="3924300"/>
            <wp:effectExtent l="0" t="0" r="7620" b="0"/>
            <wp:docPr id="4" name="Bild 4" descr="mail_42670_20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_42670_2047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9780" cy="3924300"/>
                    </a:xfrm>
                    <a:prstGeom prst="rect">
                      <a:avLst/>
                    </a:prstGeom>
                    <a:noFill/>
                    <a:ln>
                      <a:noFill/>
                    </a:ln>
                  </pic:spPr>
                </pic:pic>
              </a:graphicData>
            </a:graphic>
          </wp:inline>
        </w:drawing>
      </w:r>
    </w:p>
    <w:p w:rsidR="00561178" w:rsidRPr="00E35EB0" w:rsidRDefault="00561178" w:rsidP="009B386D">
      <w:pPr>
        <w:autoSpaceDE w:val="0"/>
        <w:autoSpaceDN w:val="0"/>
        <w:adjustRightInd w:val="0"/>
        <w:spacing w:after="0" w:line="240" w:lineRule="auto"/>
        <w:jc w:val="both"/>
        <w:rPr>
          <w:rFonts w:cs="Arial"/>
          <w:szCs w:val="20"/>
        </w:rPr>
      </w:pPr>
      <w:r w:rsidRPr="00E35EB0">
        <w:rPr>
          <w:rFonts w:cs="Arial"/>
          <w:b/>
          <w:bCs/>
          <w:szCs w:val="20"/>
        </w:rPr>
        <w:t xml:space="preserve">Meilenstein: </w:t>
      </w:r>
      <w:r w:rsidR="0092136F" w:rsidRPr="0092136F">
        <w:rPr>
          <w:rFonts w:cs="Arial"/>
          <w:bCs/>
          <w:szCs w:val="20"/>
        </w:rPr>
        <w:t xml:space="preserve">Der polnische Außenminister </w:t>
      </w:r>
      <w:r w:rsidR="00745A62">
        <w:rPr>
          <w:rFonts w:cs="Arial"/>
          <w:bCs/>
          <w:szCs w:val="20"/>
        </w:rPr>
        <w:t xml:space="preserve">Krzysztof </w:t>
      </w:r>
      <w:r w:rsidR="0092136F" w:rsidRPr="0092136F">
        <w:rPr>
          <w:rFonts w:cs="Arial"/>
          <w:bCs/>
          <w:szCs w:val="20"/>
        </w:rPr>
        <w:t xml:space="preserve">Skubiszewski </w:t>
      </w:r>
      <w:r w:rsidR="00AC2B26">
        <w:rPr>
          <w:rFonts w:cs="Arial"/>
          <w:bCs/>
          <w:szCs w:val="20"/>
        </w:rPr>
        <w:t xml:space="preserve">(links) </w:t>
      </w:r>
      <w:r w:rsidR="0092136F" w:rsidRPr="0092136F">
        <w:rPr>
          <w:rFonts w:cs="Arial"/>
          <w:bCs/>
          <w:szCs w:val="20"/>
        </w:rPr>
        <w:t>und der deutsche Außenminister Hans-Dietrich Genscher</w:t>
      </w:r>
      <w:r w:rsidR="0092136F">
        <w:rPr>
          <w:rFonts w:cs="Arial"/>
          <w:b/>
          <w:bCs/>
          <w:szCs w:val="20"/>
        </w:rPr>
        <w:t xml:space="preserve"> </w:t>
      </w:r>
      <w:r w:rsidR="00AC2B26" w:rsidRPr="00D17418">
        <w:rPr>
          <w:rFonts w:cs="Arial"/>
          <w:bCs/>
          <w:szCs w:val="20"/>
        </w:rPr>
        <w:t>(rechts)</w:t>
      </w:r>
      <w:r w:rsidR="00745A62" w:rsidRPr="00D17418">
        <w:rPr>
          <w:rFonts w:cs="Arial"/>
          <w:bCs/>
          <w:szCs w:val="20"/>
        </w:rPr>
        <w:t xml:space="preserve"> </w:t>
      </w:r>
      <w:r w:rsidRPr="00E35EB0">
        <w:rPr>
          <w:rFonts w:cs="Arial"/>
          <w:szCs w:val="20"/>
        </w:rPr>
        <w:t>bei der Unterzeichnung des Nachbarschaftsvert</w:t>
      </w:r>
      <w:r w:rsidR="0092136F">
        <w:rPr>
          <w:rFonts w:cs="Arial"/>
          <w:szCs w:val="20"/>
        </w:rPr>
        <w:t>rages am 17. Juni 1991 in Bonn</w:t>
      </w:r>
      <w:r w:rsidR="00AC2B26">
        <w:rPr>
          <w:rFonts w:cs="Arial"/>
          <w:szCs w:val="20"/>
        </w:rPr>
        <w:t>.</w:t>
      </w:r>
      <w:r w:rsidR="00D17418">
        <w:rPr>
          <w:rFonts w:cs="Arial"/>
          <w:szCs w:val="20"/>
        </w:rPr>
        <w:tab/>
      </w:r>
      <w:r w:rsidR="00D17418">
        <w:rPr>
          <w:rFonts w:cs="Arial"/>
          <w:szCs w:val="20"/>
        </w:rPr>
        <w:tab/>
      </w:r>
      <w:r w:rsidR="00D17418">
        <w:rPr>
          <w:rFonts w:cs="Arial"/>
          <w:szCs w:val="20"/>
        </w:rPr>
        <w:tab/>
        <w:t xml:space="preserve">   </w:t>
      </w:r>
      <w:r w:rsidR="00AC2B26">
        <w:rPr>
          <w:rFonts w:cs="Arial"/>
          <w:szCs w:val="20"/>
        </w:rPr>
        <w:t xml:space="preserve"> </w:t>
      </w:r>
      <w:r w:rsidRPr="00E35EB0">
        <w:rPr>
          <w:rFonts w:cs="Arial"/>
          <w:szCs w:val="20"/>
        </w:rPr>
        <w:t>© Presse- und Informationsamt der Bundesregierung</w:t>
      </w:r>
    </w:p>
    <w:p w:rsidR="00561178" w:rsidRDefault="00561178" w:rsidP="00DD0C62">
      <w:pPr>
        <w:spacing w:after="0" w:line="240" w:lineRule="auto"/>
        <w:rPr>
          <w:rFonts w:cs="Arial"/>
          <w:b/>
          <w:i/>
          <w:sz w:val="24"/>
          <w:szCs w:val="22"/>
          <w:u w:val="single"/>
        </w:rPr>
      </w:pPr>
    </w:p>
    <w:p w:rsidR="00083318" w:rsidRPr="00AC2B26" w:rsidRDefault="00083318" w:rsidP="00AC2B26">
      <w:pPr>
        <w:spacing w:after="120" w:line="240" w:lineRule="auto"/>
        <w:rPr>
          <w:rFonts w:cs="Arial"/>
          <w:sz w:val="22"/>
          <w:szCs w:val="22"/>
        </w:rPr>
      </w:pPr>
      <w:r w:rsidRPr="00AC2B26">
        <w:rPr>
          <w:rFonts w:cs="Arial"/>
          <w:i/>
          <w:sz w:val="24"/>
          <w:szCs w:val="22"/>
          <w:u w:val="single"/>
        </w:rPr>
        <w:t>Einführung</w:t>
      </w:r>
    </w:p>
    <w:p w:rsidR="00DD0C62" w:rsidRPr="00EF18A9" w:rsidRDefault="00DD0C62" w:rsidP="00DD0C62">
      <w:pPr>
        <w:pStyle w:val="1Standardflietext"/>
        <w:jc w:val="both"/>
      </w:pPr>
      <w:r w:rsidRPr="00EF18A9">
        <w:t>Der Untergang des kommunistischen Systems in Polen</w:t>
      </w:r>
      <w:r w:rsidR="00AC2B26">
        <w:t xml:space="preserve"> 1989</w:t>
      </w:r>
      <w:r w:rsidRPr="00EF18A9">
        <w:t>, der Zusammenbruch der DDR und die deutsche Wiedervereinigung im Jahr 1990 waren die Voraussetzungen für die Entwicklung einer grundsätzlich neuen Qualität der deutsch-polnischen Beziehungen.</w:t>
      </w:r>
    </w:p>
    <w:p w:rsidR="00DD0C62" w:rsidRPr="00EF18A9" w:rsidRDefault="00DD0C62" w:rsidP="00DD0C62">
      <w:pPr>
        <w:pStyle w:val="1Standardflietext"/>
        <w:jc w:val="both"/>
      </w:pPr>
      <w:r w:rsidRPr="00EF18A9">
        <w:t>Bereits im Artikel 1(2) des am 12.</w:t>
      </w:r>
      <w:r w:rsidR="00AC2B26">
        <w:t> </w:t>
      </w:r>
      <w:r w:rsidRPr="00EF18A9">
        <w:t>September</w:t>
      </w:r>
      <w:r w:rsidR="00AC2B26">
        <w:t> </w:t>
      </w:r>
      <w:r w:rsidRPr="00EF18A9">
        <w:t xml:space="preserve">1990 abgeschlossenen </w:t>
      </w:r>
      <w:r w:rsidR="00AC2B26">
        <w:t>„</w:t>
      </w:r>
      <w:r w:rsidRPr="00EF18A9">
        <w:t>2+4-Vertrages</w:t>
      </w:r>
      <w:r w:rsidR="00AC2B26">
        <w:t>“</w:t>
      </w:r>
      <w:r w:rsidRPr="00EF18A9">
        <w:t xml:space="preserve"> wurde die völkerrechtlich verbindliche Regelung der deutsch</w:t>
      </w:r>
      <w:r w:rsidR="00745A62">
        <w:t>-</w:t>
      </w:r>
      <w:r w:rsidRPr="00EF18A9">
        <w:t>polnischen Grenze gefordert, weshalb kurze Zeit später, am 14.</w:t>
      </w:r>
      <w:r w:rsidR="00AC2B26">
        <w:t> </w:t>
      </w:r>
      <w:r w:rsidRPr="00EF18A9">
        <w:t>November</w:t>
      </w:r>
      <w:r w:rsidR="00AC2B26">
        <w:t> </w:t>
      </w:r>
      <w:r w:rsidRPr="00EF18A9">
        <w:t>1990, der deutsch-polnische Grenzbestätigungsvertrag zwischen beiden Ländern abgeschlossen wurde. Am 17</w:t>
      </w:r>
      <w:r w:rsidR="00AC2B26" w:rsidRPr="00EF18A9">
        <w:t>.</w:t>
      </w:r>
      <w:r w:rsidR="00AC2B26">
        <w:t> </w:t>
      </w:r>
      <w:r w:rsidRPr="00EF18A9">
        <w:t>Juni</w:t>
      </w:r>
      <w:r w:rsidR="00AC2B26">
        <w:t> </w:t>
      </w:r>
      <w:r w:rsidRPr="00EF18A9">
        <w:t xml:space="preserve">1991 folgte die Unterzeichnung des </w:t>
      </w:r>
      <w:r w:rsidR="00AC2B26">
        <w:t>„</w:t>
      </w:r>
      <w:r w:rsidRPr="00EF18A9">
        <w:t>Vertrages über gute Nachbarschaft und freundschaftliche Zusammenarbeit zwischen der Bundesrepublik Deutschland und der Republik Polen</w:t>
      </w:r>
      <w:r w:rsidR="00AC2B26">
        <w:t>“</w:t>
      </w:r>
      <w:r w:rsidRPr="00EF18A9">
        <w:t xml:space="preserve">, der unter anderem die Zusammenarbeit in den Bereichen der Politik, der Wirtschaft, der Kultur und des Bildungswesens auf eine neue Grundlage stellen sollte. Als Vorbild </w:t>
      </w:r>
      <w:r w:rsidR="00034CEE">
        <w:t xml:space="preserve">galt </w:t>
      </w:r>
      <w:r w:rsidRPr="00EF18A9">
        <w:t xml:space="preserve">dabei die Gestaltung der Beziehungen zu Frankreich. Außerdem wurde in dem Vertrag die Existenz einer deutschen Minderheit in Polen bestätigt, die bis zum Jahr 1989 von offizieller polnischer Seite geleugnet worden war. Die damit verbundenen Regelungen der politischen und kulturellen Minderheitenrechte waren insofern von Bedeutung, als in Oberschlesien, wo seit 1945 der Großteil der verbliebenen deutschstämmigen bzw. sich zur deutschen Sprache und Kultur bekennenden Bevölkerung lebte, ein deutsches Kulturleben untersagt war. Im Gegenzug wurden auch die Rechte von deutschen Staatsbürgern, </w:t>
      </w:r>
      <w:r w:rsidR="00AC2B26">
        <w:t>„</w:t>
      </w:r>
      <w:r w:rsidRPr="00EF18A9">
        <w:t>die polnischer Abstammung sind oder die sich zur polnischen Sprache, Kultur oder Tradition bekennen</w:t>
      </w:r>
      <w:r w:rsidR="00AC2B26">
        <w:t>“</w:t>
      </w:r>
      <w:r w:rsidRPr="00EF18A9">
        <w:t>, geregelt. Sie wurden allerdings nicht als Minderheit anerkannt, weil sie nach deutscher Rechtsauffassung keine historisch gewachsene Minderheit darstellen (wie Dänen und Sorben), sondern sich seit der Industrialisierung am Ende des 19.</w:t>
      </w:r>
      <w:r w:rsidR="00AC2B26">
        <w:t> </w:t>
      </w:r>
      <w:r w:rsidR="00D17418">
        <w:t>J</w:t>
      </w:r>
      <w:r w:rsidRPr="00EF18A9">
        <w:t>ahrhunderts bis in die jüngste Zeit in Deutschland ansiedelten. Infolge des Nachbarschaftsvertrages wurden verschiedene politische und kulturelle Ein</w:t>
      </w:r>
      <w:r w:rsidR="00034CEE">
        <w:t>richtungen ins Leben gerufen, die</w:t>
      </w:r>
      <w:r w:rsidRPr="00EF18A9">
        <w:t xml:space="preserve"> der neuen Qualität</w:t>
      </w:r>
      <w:r w:rsidR="00034CEE">
        <w:t xml:space="preserve"> der Beziehung Ausdruck verl</w:t>
      </w:r>
      <w:r w:rsidRPr="00EF18A9">
        <w:t>i</w:t>
      </w:r>
      <w:r w:rsidR="00034CEE">
        <w:t>e</w:t>
      </w:r>
      <w:r w:rsidRPr="00EF18A9">
        <w:t xml:space="preserve">hen. In Anlehnung an das bereits seit 1963 bestehende Deutsch-Französische Jugendwerk wurde das Deutsch-Polnische Jugendwerk mit Sitz in Potsdam und Warschau </w:t>
      </w:r>
      <w:r w:rsidRPr="00EF18A9">
        <w:lastRenderedPageBreak/>
        <w:t>gegründet, um den Jugend- und Schüleraustausch zu fördern</w:t>
      </w:r>
      <w:r w:rsidR="00745A62">
        <w:t>.</w:t>
      </w:r>
      <w:r w:rsidRPr="00EF18A9">
        <w:t xml:space="preserve"> </w:t>
      </w:r>
      <w:r w:rsidR="009C7BB7">
        <w:t>Bis zum Jahr 2014 haben</w:t>
      </w:r>
      <w:r w:rsidRPr="00EF18A9">
        <w:t xml:space="preserve"> über </w:t>
      </w:r>
      <w:r w:rsidR="009C7BB7" w:rsidRPr="008D0CC9">
        <w:t xml:space="preserve">2,5 Millionen </w:t>
      </w:r>
      <w:r w:rsidRPr="008D0CC9">
        <w:t>Jugendliche</w:t>
      </w:r>
      <w:r w:rsidRPr="00EF18A9">
        <w:t xml:space="preserve"> aus Deutschland und Polen am Jugendaustausch teilgenommen. Erfreulicherweise stieg auch die Zahl der Städtepartnerschaften von 54 im Jahr </w:t>
      </w:r>
      <w:r w:rsidRPr="008D0CC9">
        <w:t>1989 auf</w:t>
      </w:r>
      <w:r w:rsidR="009C7BB7" w:rsidRPr="008D0CC9">
        <w:t xml:space="preserve"> 651 im Jahr 2014</w:t>
      </w:r>
      <w:r w:rsidRPr="008D0CC9">
        <w:t>. Ebenso wurde die S</w:t>
      </w:r>
      <w:r w:rsidR="00034CEE">
        <w:t>tiftung für deutsch-p</w:t>
      </w:r>
      <w:r w:rsidRPr="00EF18A9">
        <w:t>olnische Zusammenarbeit eingerichtet, die seit 1991 Projekte zur deutsch-polnischen Verständigung finanziert.</w:t>
      </w:r>
    </w:p>
    <w:p w:rsidR="00DD0C62" w:rsidRPr="00EF18A9" w:rsidRDefault="00DD0C62" w:rsidP="00DD0C62">
      <w:pPr>
        <w:pStyle w:val="1Standardflietext"/>
        <w:jc w:val="both"/>
      </w:pPr>
      <w:r w:rsidRPr="00EF18A9">
        <w:t xml:space="preserve">Die neu geschaffenen politischen Verhältnisse hatten auch einen verstärkten Ausbau der Wirtschaftskontakte zur Folge. </w:t>
      </w:r>
      <w:r w:rsidR="009C7BB7" w:rsidRPr="008D0CC9">
        <w:t>2013 gingen ungefähr 25</w:t>
      </w:r>
      <w:r w:rsidRPr="008D0CC9">
        <w:t xml:space="preserve"> Prozent der polnischen Exporte nach Deutschland, der Anteil der Importe aus Deutschland betrug </w:t>
      </w:r>
      <w:r w:rsidR="009C7BB7" w:rsidRPr="008D0CC9">
        <w:t>ca. 2</w:t>
      </w:r>
      <w:r w:rsidRPr="008D0CC9">
        <w:t xml:space="preserve">2 Prozent. Mit dem Beitritt Polens zur Europäischen Union </w:t>
      </w:r>
      <w:r w:rsidR="00AC2B26">
        <w:t xml:space="preserve">2004 </w:t>
      </w:r>
      <w:r w:rsidRPr="008D0CC9">
        <w:t>eröffneten sich auch für polnische Unternehmen</w:t>
      </w:r>
      <w:r w:rsidRPr="00EF18A9">
        <w:t xml:space="preserve"> neue Chanc</w:t>
      </w:r>
      <w:r>
        <w:t>en auf dem deutschen Markt</w:t>
      </w:r>
      <w:r w:rsidRPr="00EF18A9">
        <w:t xml:space="preserve">. </w:t>
      </w:r>
      <w:r w:rsidR="00034CEE">
        <w:t>Polen befindet sich heute unter den ersten zehn Wirtschaftspartnern Deutschlands weltweit.</w:t>
      </w:r>
    </w:p>
    <w:p w:rsidR="008D0CC9" w:rsidRDefault="00DD0C62" w:rsidP="00DD0C62">
      <w:pPr>
        <w:pStyle w:val="1Standardflietext"/>
        <w:jc w:val="both"/>
      </w:pPr>
      <w:r w:rsidRPr="00EF18A9">
        <w:t>Trotz aller Regelungen in den Verträgen und dem Engagement beider Regierungen für den Aufbau einer guten Nachbarschaft in de</w:t>
      </w:r>
      <w:r>
        <w:t>n 1990er</w:t>
      </w:r>
      <w:r w:rsidR="00745A62">
        <w:t xml:space="preserve"> </w:t>
      </w:r>
      <w:r>
        <w:t>Jahren war das deutsch-</w:t>
      </w:r>
      <w:r w:rsidRPr="00EF18A9">
        <w:t xml:space="preserve">polnische Verhältnis auf der politischen Ebene nicht vor Rückschlägen gefeit. Dabei spielten </w:t>
      </w:r>
      <w:r w:rsidR="008D0CC9">
        <w:t xml:space="preserve">häufig </w:t>
      </w:r>
      <w:r w:rsidRPr="00EF18A9">
        <w:t>de</w:t>
      </w:r>
      <w:r w:rsidR="008D0CC9">
        <w:t xml:space="preserve">r Umgang mit der Geschichte sowie </w:t>
      </w:r>
      <w:r w:rsidRPr="00EF18A9">
        <w:t>aktuelle europäische Fragen</w:t>
      </w:r>
      <w:r w:rsidR="008D0CC9">
        <w:t xml:space="preserve"> </w:t>
      </w:r>
      <w:r w:rsidRPr="00EF18A9">
        <w:t xml:space="preserve">eine </w:t>
      </w:r>
      <w:r w:rsidR="008D0CC9">
        <w:t xml:space="preserve">bedeutende </w:t>
      </w:r>
      <w:r w:rsidRPr="00EF18A9">
        <w:t xml:space="preserve">Rolle. </w:t>
      </w:r>
    </w:p>
    <w:p w:rsidR="008D0CC9" w:rsidRDefault="00DD0C62" w:rsidP="00DD0C62">
      <w:pPr>
        <w:pStyle w:val="1Standardflietext"/>
        <w:jc w:val="both"/>
      </w:pPr>
      <w:r w:rsidRPr="00EF18A9">
        <w:t xml:space="preserve">Obwohl eine offene und selbstkritische Aufarbeitung der </w:t>
      </w:r>
      <w:r w:rsidR="00034CEE">
        <w:t xml:space="preserve">Geschichte </w:t>
      </w:r>
      <w:r w:rsidRPr="00EF18A9">
        <w:t>weiter vorangetrieben wurde, führten verschiedene Diskussionen die Schwierigkeit</w:t>
      </w:r>
      <w:r w:rsidR="00034CEE">
        <w:t>en bei</w:t>
      </w:r>
      <w:r w:rsidRPr="00EF18A9">
        <w:t xml:space="preserve"> der Aufarbeitung der Vergangenheit beider Länder immer wieder vor Augen. </w:t>
      </w:r>
      <w:r w:rsidR="008D0CC9">
        <w:t xml:space="preserve">Zuletzt wurde dies sichtbar an einer Debatte über den dreiteiligen </w:t>
      </w:r>
      <w:r w:rsidR="00AC2B26">
        <w:t>ZDF-</w:t>
      </w:r>
      <w:r w:rsidR="008D0CC9">
        <w:t xml:space="preserve">Fernsehfilm „Unsere Väter, unsere Mütter“, der im Jahr 2013 ausgestrahlt wurde und in Polen auf heftige Kritik stieß. Die Darstellung der polnischen Heimatarmee </w:t>
      </w:r>
      <w:r w:rsidR="00034CEE">
        <w:t xml:space="preserve">als antisemitisch </w:t>
      </w:r>
      <w:r w:rsidR="008D0CC9">
        <w:t xml:space="preserve">war für Polen in dieser Form und im Kontext der Verbrechen des Nationalsozialismus nicht akzeptabel. </w:t>
      </w:r>
      <w:r w:rsidR="00034CEE">
        <w:t xml:space="preserve">Auch an der Errichtung eines „Zentrums gegen Vertreibungen“ entzündeten sich ein um das andere Mal inhaltliche und politische Kontroversen, bevor im Jahr 2008 die </w:t>
      </w:r>
      <w:r w:rsidR="00F16CD7">
        <w:t>Bundesstiftung „Flucht, Vertreibung, Versöhnung“</w:t>
      </w:r>
      <w:r w:rsidR="00034CEE">
        <w:t xml:space="preserve"> ihre Arbeit aufnahm</w:t>
      </w:r>
      <w:r w:rsidR="00F16CD7">
        <w:t>, im Geiste der Versöhnung die Erinnerung und das Gedenken an Flucht und Vertreibung im 20. Jahrhundert wachzuhalten</w:t>
      </w:r>
      <w:r w:rsidR="00034CEE">
        <w:t>.</w:t>
      </w:r>
    </w:p>
    <w:p w:rsidR="00DD0C62" w:rsidRPr="00EF18A9" w:rsidRDefault="00DD0C62" w:rsidP="00DD0C62">
      <w:pPr>
        <w:pStyle w:val="1Standardflietext"/>
        <w:jc w:val="both"/>
      </w:pPr>
      <w:r w:rsidRPr="00EF18A9">
        <w:t>Weitgehend unberührt von den historischen und politischen Fragen entwickelt sich die Zusammenarbeit auf wirtschaftlicher, kultureller und zwischenmenschlicher Ebene sehr positiv, wobei der Ausgangspunkt in Deutschland und in Polen auffallend unterschiedlich ist. Die Deutschen gelten in Polen zwar nicht als die beliebtesten, aber als die zuverlässigsten und vertrauenswürdigsten Nachbarn. Während das Interesse an Deutschland in Polen groß ist, sind Kenntnisse über Polen und Neugier auf den östlichen Nachbarn in Deutschland gering geblieben. Die Wahrnehmung Polens ist in weiten Kreisen der deutschen Gesellschaft noch immer von Stereotypen oder Gleichgültigkeit</w:t>
      </w:r>
      <w:r w:rsidR="00AC2B26">
        <w:t xml:space="preserve"> </w:t>
      </w:r>
      <w:r w:rsidR="00AC2B26" w:rsidRPr="00EF18A9">
        <w:t>geprägt</w:t>
      </w:r>
      <w:r w:rsidRPr="00EF18A9">
        <w:t xml:space="preserve">. Ungeachtet der zahlreichen Fortschritte und einer zunehmenden Normalität und Freundschaftlichkeit im Verhältnis zwischen </w:t>
      </w:r>
      <w:r w:rsidR="00B623C8">
        <w:t>„</w:t>
      </w:r>
      <w:r w:rsidRPr="00EF18A9">
        <w:t>Frau Schmidt</w:t>
      </w:r>
      <w:r w:rsidR="00B623C8">
        <w:t>“</w:t>
      </w:r>
      <w:r w:rsidRPr="00EF18A9">
        <w:t xml:space="preserve"> und </w:t>
      </w:r>
      <w:r w:rsidR="00B623C8">
        <w:t>„</w:t>
      </w:r>
      <w:r w:rsidRPr="00EF18A9">
        <w:t>Herrn Kowalski</w:t>
      </w:r>
      <w:r w:rsidR="00B623C8">
        <w:t>“</w:t>
      </w:r>
      <w:r w:rsidR="00745A62">
        <w:t>,</w:t>
      </w:r>
      <w:r w:rsidRPr="00EF18A9">
        <w:t xml:space="preserve"> </w:t>
      </w:r>
      <w:r w:rsidR="00B623C8">
        <w:t>als typischen Vertretern ihrer Länder</w:t>
      </w:r>
      <w:r w:rsidR="00745A62">
        <w:t>,</w:t>
      </w:r>
      <w:r w:rsidR="00B623C8">
        <w:t xml:space="preserve"> </w:t>
      </w:r>
      <w:r w:rsidRPr="00EF18A9">
        <w:t xml:space="preserve">bleibt noch viel zu tun, um in den Beziehungen noch mehr über die Zukunft als über die Vergangenheit zu sprechen und Deutschland und Polen wirklich zu einer </w:t>
      </w:r>
      <w:r w:rsidR="00D17418">
        <w:t>„</w:t>
      </w:r>
      <w:r w:rsidRPr="00EF18A9">
        <w:t>I</w:t>
      </w:r>
      <w:r w:rsidR="00D17418">
        <w:t>nteressengemeinschaft in Europa“</w:t>
      </w:r>
      <w:r w:rsidRPr="00EF18A9">
        <w:t xml:space="preserve"> zu entwickeln, wie es der polnische Außenminist</w:t>
      </w:r>
      <w:r w:rsidR="00125D01">
        <w:t>er Skubiszewski 1990 formuliert hatte</w:t>
      </w:r>
      <w:r w:rsidRPr="00EF18A9">
        <w:t>.</w:t>
      </w:r>
    </w:p>
    <w:p w:rsidR="00083318" w:rsidRPr="00C62F8E" w:rsidRDefault="00F16CD7" w:rsidP="006D07A1">
      <w:pPr>
        <w:pStyle w:val="1Standardflietext"/>
        <w:rPr>
          <w:rFonts w:cs="Arial"/>
          <w:i/>
          <w:sz w:val="18"/>
          <w:szCs w:val="18"/>
        </w:rPr>
      </w:pPr>
      <w:r>
        <w:rPr>
          <w:rFonts w:cs="Arial"/>
          <w:i/>
          <w:sz w:val="18"/>
          <w:szCs w:val="18"/>
        </w:rPr>
        <w:t>B</w:t>
      </w:r>
      <w:r w:rsidR="00DD0C62">
        <w:rPr>
          <w:rFonts w:cs="Arial"/>
          <w:i/>
          <w:sz w:val="18"/>
          <w:szCs w:val="18"/>
        </w:rPr>
        <w:t>earbeitet und aktualisiert a</w:t>
      </w:r>
      <w:r w:rsidR="00083318" w:rsidRPr="00C62F8E">
        <w:rPr>
          <w:rFonts w:cs="Arial"/>
          <w:i/>
          <w:sz w:val="18"/>
          <w:szCs w:val="18"/>
        </w:rPr>
        <w:t>us: Kneip, Matthias; Mack</w:t>
      </w:r>
      <w:r w:rsidR="00083318">
        <w:rPr>
          <w:rFonts w:cs="Arial"/>
          <w:i/>
          <w:sz w:val="18"/>
          <w:szCs w:val="18"/>
        </w:rPr>
        <w:t>,</w:t>
      </w:r>
      <w:r w:rsidR="00083318" w:rsidRPr="00C62F8E">
        <w:rPr>
          <w:rFonts w:cs="Arial"/>
          <w:i/>
          <w:sz w:val="18"/>
          <w:szCs w:val="18"/>
        </w:rPr>
        <w:t xml:space="preserve"> Manfred: </w:t>
      </w:r>
      <w:r w:rsidR="00DD0C62">
        <w:rPr>
          <w:rFonts w:cs="Arial"/>
          <w:i/>
          <w:sz w:val="18"/>
          <w:szCs w:val="18"/>
        </w:rPr>
        <w:t xml:space="preserve">Deutsche und Polen nach 1989. Vom Nachbarschaftsvertrag zur Nachbarschaft. </w:t>
      </w:r>
      <w:r w:rsidR="00083318" w:rsidRPr="00C62F8E">
        <w:rPr>
          <w:rFonts w:cs="Arial"/>
          <w:i/>
          <w:sz w:val="18"/>
          <w:szCs w:val="18"/>
        </w:rPr>
        <w:t>In: Dies.: Polnische Geschichte und deutsch-polnische Beziehungen. Berlin: Cornelsen 2007</w:t>
      </w:r>
      <w:r w:rsidR="00B623C8">
        <w:rPr>
          <w:rFonts w:cs="Arial"/>
          <w:i/>
          <w:sz w:val="18"/>
          <w:szCs w:val="18"/>
        </w:rPr>
        <w:t>,</w:t>
      </w:r>
      <w:r w:rsidR="00083318">
        <w:rPr>
          <w:rFonts w:cs="Arial"/>
          <w:i/>
          <w:sz w:val="18"/>
          <w:szCs w:val="18"/>
        </w:rPr>
        <w:t xml:space="preserve"> S.</w:t>
      </w:r>
      <w:r w:rsidR="00DD0C62">
        <w:rPr>
          <w:rFonts w:cs="Arial"/>
          <w:i/>
          <w:sz w:val="18"/>
          <w:szCs w:val="18"/>
        </w:rPr>
        <w:t>120ff.</w:t>
      </w:r>
      <w:bookmarkStart w:id="0" w:name="_GoBack"/>
      <w:bookmarkEnd w:id="0"/>
    </w:p>
    <w:sectPr w:rsidR="00083318" w:rsidRPr="00C62F8E"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50" w:rsidRDefault="00F86950">
      <w:r>
        <w:separator/>
      </w:r>
    </w:p>
    <w:p w:rsidR="00F86950" w:rsidRDefault="00F86950"/>
    <w:p w:rsidR="00F86950" w:rsidRDefault="00F86950"/>
    <w:p w:rsidR="00F86950" w:rsidRDefault="00F86950"/>
    <w:p w:rsidR="00F86950" w:rsidRDefault="00F86950"/>
    <w:p w:rsidR="00F86950" w:rsidRDefault="00F86950"/>
    <w:p w:rsidR="00F86950" w:rsidRDefault="00F86950"/>
    <w:p w:rsidR="00F86950" w:rsidRDefault="00F86950"/>
  </w:endnote>
  <w:endnote w:type="continuationSeparator" w:id="0">
    <w:p w:rsidR="00F86950" w:rsidRDefault="00F86950">
      <w:r>
        <w:continuationSeparator/>
      </w:r>
    </w:p>
    <w:p w:rsidR="00F86950" w:rsidRDefault="00F86950"/>
    <w:p w:rsidR="00F86950" w:rsidRDefault="00F86950"/>
    <w:p w:rsidR="00F86950" w:rsidRDefault="00F86950"/>
    <w:p w:rsidR="00F86950" w:rsidRDefault="00F86950"/>
    <w:p w:rsidR="00F86950" w:rsidRDefault="00F86950"/>
    <w:p w:rsidR="00F86950" w:rsidRDefault="00F86950"/>
    <w:p w:rsidR="00F86950" w:rsidRDefault="00F86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0884EBF5" wp14:editId="6E5CDDA2">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769E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769E4">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50" w:rsidRDefault="00F86950">
      <w:r>
        <w:separator/>
      </w:r>
    </w:p>
    <w:p w:rsidR="00F86950" w:rsidRDefault="00F86950"/>
    <w:p w:rsidR="00F86950" w:rsidRDefault="00F86950"/>
    <w:p w:rsidR="00F86950" w:rsidRDefault="00F86950"/>
    <w:p w:rsidR="00F86950" w:rsidRDefault="00F86950"/>
    <w:p w:rsidR="00F86950" w:rsidRDefault="00F86950"/>
    <w:p w:rsidR="00F86950" w:rsidRDefault="00F86950"/>
    <w:p w:rsidR="00F86950" w:rsidRDefault="00F86950"/>
  </w:footnote>
  <w:footnote w:type="continuationSeparator" w:id="0">
    <w:p w:rsidR="00F86950" w:rsidRDefault="00F86950">
      <w:r>
        <w:continuationSeparator/>
      </w:r>
    </w:p>
    <w:p w:rsidR="00F86950" w:rsidRDefault="00F86950"/>
    <w:p w:rsidR="00F86950" w:rsidRDefault="00F86950"/>
    <w:p w:rsidR="00F86950" w:rsidRDefault="00F86950"/>
    <w:p w:rsidR="00F86950" w:rsidRDefault="00F86950"/>
    <w:p w:rsidR="00F86950" w:rsidRDefault="00F86950"/>
    <w:p w:rsidR="00F86950" w:rsidRDefault="00F86950"/>
    <w:p w:rsidR="00F86950" w:rsidRDefault="00F86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561178" w:rsidP="00ED7ED9">
          <w:pPr>
            <w:pStyle w:val="0berschrift4"/>
            <w:rPr>
              <w:sz w:val="20"/>
            </w:rPr>
          </w:pPr>
          <w:r w:rsidRPr="009B386D">
            <w:rPr>
              <w:sz w:val="20"/>
            </w:rPr>
            <w:t>Deutsche und Polen nach 1989</w:t>
          </w:r>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r>
            <w:rPr>
              <w:i/>
            </w:rPr>
            <w:tab/>
          </w: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D9"/>
    <w:rsid w:val="000036D7"/>
    <w:rsid w:val="00012FD5"/>
    <w:rsid w:val="00021262"/>
    <w:rsid w:val="00022F2F"/>
    <w:rsid w:val="00026C0A"/>
    <w:rsid w:val="00026FB6"/>
    <w:rsid w:val="000270EA"/>
    <w:rsid w:val="00034CEE"/>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256E"/>
    <w:rsid w:val="00144E39"/>
    <w:rsid w:val="00146FFD"/>
    <w:rsid w:val="001506D1"/>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5097"/>
    <w:rsid w:val="0025560A"/>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506BC"/>
    <w:rsid w:val="003524B3"/>
    <w:rsid w:val="00352A61"/>
    <w:rsid w:val="00355522"/>
    <w:rsid w:val="00356A49"/>
    <w:rsid w:val="00365669"/>
    <w:rsid w:val="00374974"/>
    <w:rsid w:val="00377999"/>
    <w:rsid w:val="00383D1A"/>
    <w:rsid w:val="00383FB9"/>
    <w:rsid w:val="00386141"/>
    <w:rsid w:val="00387FBF"/>
    <w:rsid w:val="003A090D"/>
    <w:rsid w:val="003A41DB"/>
    <w:rsid w:val="003B0B17"/>
    <w:rsid w:val="003B2910"/>
    <w:rsid w:val="003B6172"/>
    <w:rsid w:val="003B638C"/>
    <w:rsid w:val="003B7477"/>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769E4"/>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409B0"/>
    <w:rsid w:val="00644D07"/>
    <w:rsid w:val="00645C86"/>
    <w:rsid w:val="00650060"/>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A6EFC"/>
    <w:rsid w:val="006B0620"/>
    <w:rsid w:val="006B6676"/>
    <w:rsid w:val="006B762E"/>
    <w:rsid w:val="006B7C96"/>
    <w:rsid w:val="006C43AA"/>
    <w:rsid w:val="006C78DB"/>
    <w:rsid w:val="006C7E1C"/>
    <w:rsid w:val="006D07A1"/>
    <w:rsid w:val="006D0F26"/>
    <w:rsid w:val="006D1788"/>
    <w:rsid w:val="006D1C9C"/>
    <w:rsid w:val="006D6DD1"/>
    <w:rsid w:val="006E2EA3"/>
    <w:rsid w:val="006E4E12"/>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7090A"/>
    <w:rsid w:val="008726D2"/>
    <w:rsid w:val="0087362D"/>
    <w:rsid w:val="008835DC"/>
    <w:rsid w:val="00883F69"/>
    <w:rsid w:val="008849E7"/>
    <w:rsid w:val="00887A7D"/>
    <w:rsid w:val="00892178"/>
    <w:rsid w:val="00892B88"/>
    <w:rsid w:val="00895475"/>
    <w:rsid w:val="008A2DF7"/>
    <w:rsid w:val="008A48D9"/>
    <w:rsid w:val="008B0642"/>
    <w:rsid w:val="008B389E"/>
    <w:rsid w:val="008B769E"/>
    <w:rsid w:val="008C277C"/>
    <w:rsid w:val="008C6B3A"/>
    <w:rsid w:val="008C77F4"/>
    <w:rsid w:val="008D08AA"/>
    <w:rsid w:val="008D0CC9"/>
    <w:rsid w:val="008D3F4B"/>
    <w:rsid w:val="008D66C8"/>
    <w:rsid w:val="008E568B"/>
    <w:rsid w:val="008F70EE"/>
    <w:rsid w:val="008F7926"/>
    <w:rsid w:val="00902A6F"/>
    <w:rsid w:val="0090325E"/>
    <w:rsid w:val="009067D5"/>
    <w:rsid w:val="009111A2"/>
    <w:rsid w:val="009114BE"/>
    <w:rsid w:val="009154B9"/>
    <w:rsid w:val="00916304"/>
    <w:rsid w:val="0092136F"/>
    <w:rsid w:val="00922FE0"/>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6231"/>
    <w:rsid w:val="00A0303E"/>
    <w:rsid w:val="00A03E9F"/>
    <w:rsid w:val="00A07DC3"/>
    <w:rsid w:val="00A119F8"/>
    <w:rsid w:val="00A137FE"/>
    <w:rsid w:val="00A211DC"/>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7DC9"/>
    <w:rsid w:val="00C33D11"/>
    <w:rsid w:val="00C404F9"/>
    <w:rsid w:val="00C40BEB"/>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A7409"/>
    <w:rsid w:val="00CB4729"/>
    <w:rsid w:val="00CB713D"/>
    <w:rsid w:val="00CC3FFC"/>
    <w:rsid w:val="00CD1001"/>
    <w:rsid w:val="00CD5F8B"/>
    <w:rsid w:val="00CE0B7A"/>
    <w:rsid w:val="00CE1EAE"/>
    <w:rsid w:val="00CE39D8"/>
    <w:rsid w:val="00CF2DBE"/>
    <w:rsid w:val="00CF3A8A"/>
    <w:rsid w:val="00CF75D3"/>
    <w:rsid w:val="00D017D1"/>
    <w:rsid w:val="00D030E9"/>
    <w:rsid w:val="00D0391B"/>
    <w:rsid w:val="00D0418F"/>
    <w:rsid w:val="00D05730"/>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A2D1D"/>
    <w:rsid w:val="00EC2A6E"/>
    <w:rsid w:val="00EC56B6"/>
    <w:rsid w:val="00EC6126"/>
    <w:rsid w:val="00EC7725"/>
    <w:rsid w:val="00ED088F"/>
    <w:rsid w:val="00ED3765"/>
    <w:rsid w:val="00ED7ED9"/>
    <w:rsid w:val="00EE1668"/>
    <w:rsid w:val="00EE42D0"/>
    <w:rsid w:val="00EE4AFB"/>
    <w:rsid w:val="00EE58C3"/>
    <w:rsid w:val="00EF2E7F"/>
    <w:rsid w:val="00EF38A7"/>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227C"/>
    <w:rsid w:val="00F4346E"/>
    <w:rsid w:val="00F533A9"/>
    <w:rsid w:val="00F60DC7"/>
    <w:rsid w:val="00F67226"/>
    <w:rsid w:val="00F801FA"/>
    <w:rsid w:val="00F80665"/>
    <w:rsid w:val="00F808C1"/>
    <w:rsid w:val="00F8127B"/>
    <w:rsid w:val="00F86082"/>
    <w:rsid w:val="00F86950"/>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41F7"/>
    <w:rsid w:val="00FC48B8"/>
    <w:rsid w:val="00FC4E30"/>
    <w:rsid w:val="00FC6013"/>
    <w:rsid w:val="00FC6968"/>
    <w:rsid w:val="00FC71DC"/>
    <w:rsid w:val="00FD0935"/>
    <w:rsid w:val="00FD2BBE"/>
    <w:rsid w:val="00FD5BED"/>
    <w:rsid w:val="00FD695E"/>
    <w:rsid w:val="00FD6DC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5AB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uiPriority="20" w:qFormat="1"/>
    <w:lsdException w:name="HTML Top of Form" w:semiHidden="0"/>
    <w:lsdException w:name="HTML Bottom of Form" w:semiHidden="0"/>
    <w:lsdException w:name="Normal (Web)" w:uiPriority="99"/>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uiPriority="20" w:qFormat="1"/>
    <w:lsdException w:name="HTML Top of Form" w:semiHidden="0"/>
    <w:lsdException w:name="HTML Bottom of Form" w:semiHidden="0"/>
    <w:lsdException w:name="Normal (Web)" w:uiPriority="99"/>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FECE-DC5B-44A3-A09F-0A335802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6081</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2015-01-23T11:16:00Z</cp:lastPrinted>
  <dcterms:created xsi:type="dcterms:W3CDTF">2015-02-23T19:20:00Z</dcterms:created>
  <dcterms:modified xsi:type="dcterms:W3CDTF">2015-02-23T19:20:00Z</dcterms:modified>
  <cp:category>Aktualitätendienst Politik</cp:category>
</cp:coreProperties>
</file>