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97" w:rsidRPr="001C3BE3" w:rsidRDefault="004D0F78" w:rsidP="004D0F78">
      <w:pPr>
        <w:pStyle w:val="0berschrift3"/>
        <w:rPr>
          <w:rFonts w:cs="Arial"/>
          <w:sz w:val="24"/>
        </w:rPr>
      </w:pPr>
      <w:bookmarkStart w:id="0" w:name="_GoBack"/>
      <w:bookmarkEnd w:id="0"/>
      <w:r w:rsidRPr="001C3BE3">
        <w:rPr>
          <w:rFonts w:cs="Arial"/>
          <w:sz w:val="24"/>
        </w:rPr>
        <w:t>Die polnische Adelsrepublik</w:t>
      </w:r>
    </w:p>
    <w:p w:rsidR="004D0F78" w:rsidRPr="001C3BE3" w:rsidRDefault="00BD4B97" w:rsidP="004D0F78">
      <w:pPr>
        <w:pStyle w:val="0berschrift3"/>
        <w:rPr>
          <w:rFonts w:cs="Arial"/>
          <w:sz w:val="24"/>
        </w:rPr>
      </w:pPr>
      <w:r w:rsidRPr="001C3BE3">
        <w:rPr>
          <w:rFonts w:cs="Arial"/>
          <w:sz w:val="24"/>
        </w:rPr>
        <w:t>V</w:t>
      </w:r>
      <w:r w:rsidR="004D0F78" w:rsidRPr="001C3BE3">
        <w:rPr>
          <w:rFonts w:cs="Arial"/>
          <w:sz w:val="24"/>
        </w:rPr>
        <w:t xml:space="preserve">om </w:t>
      </w:r>
      <w:r w:rsidR="001E591A" w:rsidRPr="001C3BE3">
        <w:rPr>
          <w:rFonts w:cs="Arial"/>
          <w:sz w:val="24"/>
        </w:rPr>
        <w:t>G</w:t>
      </w:r>
      <w:r w:rsidR="004D0F78" w:rsidRPr="001C3BE3">
        <w:rPr>
          <w:rFonts w:cs="Arial"/>
          <w:sz w:val="24"/>
        </w:rPr>
        <w:t>oldenen Zeitalter zum Niedergang einer Großmacht (1569</w:t>
      </w:r>
      <w:r w:rsidR="00003426" w:rsidRPr="003757C1">
        <w:rPr>
          <w:rFonts w:cs="Arial"/>
          <w:sz w:val="24"/>
        </w:rPr>
        <w:t>-</w:t>
      </w:r>
      <w:r w:rsidR="004D0F78" w:rsidRPr="001C3BE3">
        <w:rPr>
          <w:rFonts w:cs="Arial"/>
          <w:sz w:val="24"/>
        </w:rPr>
        <w:t>1795)</w:t>
      </w:r>
    </w:p>
    <w:p w:rsidR="004D0F78" w:rsidRPr="00D72FC9" w:rsidRDefault="004D0F78" w:rsidP="004D0F78">
      <w:pPr>
        <w:pStyle w:val="0berschrift2"/>
        <w:rPr>
          <w:rFonts w:cs="Arial"/>
        </w:rPr>
      </w:pPr>
    </w:p>
    <w:p w:rsidR="004D0F78" w:rsidRPr="00D72FC9" w:rsidRDefault="004D0F78" w:rsidP="004D0F78">
      <w:pPr>
        <w:pStyle w:val="0berschrift2"/>
        <w:rPr>
          <w:rFonts w:cs="Arial"/>
        </w:rPr>
      </w:pPr>
      <w:r w:rsidRPr="00D72FC9">
        <w:rPr>
          <w:rFonts w:cs="Arial"/>
        </w:rPr>
        <w:t>Kurzbeschreibung des Moduls</w:t>
      </w:r>
    </w:p>
    <w:p w:rsidR="00BD4B97" w:rsidRPr="00D72FC9" w:rsidRDefault="00BD4B97" w:rsidP="00BD4B97">
      <w:pPr>
        <w:pStyle w:val="1Standardflietext"/>
        <w:jc w:val="both"/>
        <w:rPr>
          <w:rFonts w:cs="Arial"/>
          <w:sz w:val="22"/>
        </w:rPr>
      </w:pPr>
      <w:r w:rsidRPr="00D72FC9">
        <w:rPr>
          <w:rFonts w:cs="Arial"/>
          <w:sz w:val="22"/>
        </w:rPr>
        <w:t>Die Tatsache, dass die polnisch-litauische Adelsrepublik Ende des 16.</w:t>
      </w:r>
      <w:r w:rsidR="00003426" w:rsidRPr="00D72FC9">
        <w:rPr>
          <w:rFonts w:cs="Arial"/>
          <w:sz w:val="22"/>
        </w:rPr>
        <w:t> </w:t>
      </w:r>
      <w:r w:rsidRPr="00D72FC9">
        <w:rPr>
          <w:rFonts w:cs="Arial"/>
          <w:sz w:val="22"/>
        </w:rPr>
        <w:t xml:space="preserve">Jahrhunderts zu einem der größten Flächenstaaten Europas geworden war, ist im deutschen </w:t>
      </w:r>
      <w:r w:rsidR="00003426" w:rsidRPr="00D72FC9">
        <w:rPr>
          <w:rFonts w:cs="Arial"/>
          <w:sz w:val="22"/>
        </w:rPr>
        <w:t>B</w:t>
      </w:r>
      <w:r w:rsidRPr="00D72FC9">
        <w:rPr>
          <w:rFonts w:cs="Arial"/>
          <w:sz w:val="22"/>
        </w:rPr>
        <w:t>ewusstsein kaum verankert. In den Schulbüchern weit mehr Beachtung findet dagegen deren Niedergang Ende des 18.</w:t>
      </w:r>
      <w:r w:rsidR="00003426" w:rsidRPr="00D72FC9">
        <w:rPr>
          <w:rFonts w:cs="Arial"/>
          <w:sz w:val="22"/>
        </w:rPr>
        <w:t> </w:t>
      </w:r>
      <w:r w:rsidRPr="00D72FC9">
        <w:rPr>
          <w:rFonts w:cs="Arial"/>
          <w:sz w:val="22"/>
        </w:rPr>
        <w:t>Jahrhunderts, der schließlich in den drei Teilungen Polens durch Preußen, Russland und Österreich in den</w:t>
      </w:r>
      <w:r w:rsidR="001E591A" w:rsidRPr="00D72FC9">
        <w:rPr>
          <w:rFonts w:cs="Arial"/>
          <w:sz w:val="22"/>
        </w:rPr>
        <w:t xml:space="preserve"> Jahren 1772, 1793 und 1795 mündete</w:t>
      </w:r>
      <w:r w:rsidRPr="00D72FC9">
        <w:rPr>
          <w:rFonts w:cs="Arial"/>
          <w:sz w:val="22"/>
        </w:rPr>
        <w:t xml:space="preserve">. Polen verschwand daraufhin </w:t>
      </w:r>
      <w:r w:rsidR="001E591A" w:rsidRPr="00D72FC9">
        <w:rPr>
          <w:rFonts w:cs="Arial"/>
          <w:sz w:val="22"/>
        </w:rPr>
        <w:t xml:space="preserve">als Staat </w:t>
      </w:r>
      <w:r w:rsidRPr="00D72FC9">
        <w:rPr>
          <w:rFonts w:cs="Arial"/>
          <w:sz w:val="22"/>
        </w:rPr>
        <w:t>für 123 Jahren von der europäischen Landkarte.</w:t>
      </w:r>
    </w:p>
    <w:p w:rsidR="00BD4B97" w:rsidRPr="00D72FC9" w:rsidRDefault="00BD4B97" w:rsidP="00BD4B97">
      <w:pPr>
        <w:pStyle w:val="1Standardflietext"/>
        <w:jc w:val="both"/>
        <w:rPr>
          <w:rFonts w:cs="Arial"/>
          <w:sz w:val="22"/>
        </w:rPr>
      </w:pPr>
      <w:r w:rsidRPr="00D72FC9">
        <w:rPr>
          <w:rFonts w:cs="Arial"/>
          <w:sz w:val="22"/>
        </w:rPr>
        <w:t xml:space="preserve">Doch nicht nur die Beteiligung Preußens an den Teilungen Polens macht </w:t>
      </w:r>
      <w:r w:rsidR="00EB7DB2" w:rsidRPr="00D72FC9">
        <w:rPr>
          <w:rFonts w:cs="Arial"/>
          <w:sz w:val="22"/>
        </w:rPr>
        <w:t xml:space="preserve">die Verbundenheit </w:t>
      </w:r>
      <w:r w:rsidRPr="00D72FC9">
        <w:rPr>
          <w:rFonts w:cs="Arial"/>
          <w:sz w:val="22"/>
        </w:rPr>
        <w:t xml:space="preserve">der polnischen Geschichte dieser Epoche mit der deutschen Geschichte deutlich. </w:t>
      </w:r>
      <w:r w:rsidR="00003426" w:rsidRPr="00D72FC9">
        <w:rPr>
          <w:rFonts w:cs="Arial"/>
          <w:sz w:val="22"/>
        </w:rPr>
        <w:t>So traten im Wahlkönigtum Polen-Litauen mit August II. und August III. auch zwei sächsische Könige an die Spitze des Staates, dessen Herrscher in der Frühen Neuzeit weit mehr vom Adel abhängig waren als die Herrscher in den deutschen Staaten.</w:t>
      </w:r>
    </w:p>
    <w:p w:rsidR="00BD4B97" w:rsidRPr="00D72FC9" w:rsidRDefault="00BD4B97" w:rsidP="00BD4B97">
      <w:pPr>
        <w:pStyle w:val="1Standardflietext"/>
        <w:jc w:val="both"/>
        <w:rPr>
          <w:rFonts w:cs="Arial"/>
          <w:sz w:val="22"/>
        </w:rPr>
      </w:pPr>
      <w:r w:rsidRPr="00D72FC9">
        <w:rPr>
          <w:rFonts w:cs="Arial"/>
          <w:sz w:val="22"/>
        </w:rPr>
        <w:t xml:space="preserve">Das Modul vermittelt einen Einblick in die politischen Strukturen der damaligen polnisch-litauischen Adelsrepublik und zeichnet die Stationen des Aufstiegs und Niedergangs </w:t>
      </w:r>
      <w:r w:rsidR="00EB7DB2" w:rsidRPr="00D72FC9">
        <w:rPr>
          <w:rFonts w:cs="Arial"/>
          <w:sz w:val="22"/>
        </w:rPr>
        <w:t xml:space="preserve">der </w:t>
      </w:r>
      <w:r w:rsidRPr="00D72FC9">
        <w:rPr>
          <w:rFonts w:cs="Arial"/>
          <w:sz w:val="22"/>
        </w:rPr>
        <w:t xml:space="preserve">Großmacht nach. </w:t>
      </w:r>
    </w:p>
    <w:p w:rsidR="004D0F78" w:rsidRPr="00D72FC9" w:rsidRDefault="004D0F78" w:rsidP="004D0F78">
      <w:pPr>
        <w:pStyle w:val="1Standardflietext"/>
        <w:rPr>
          <w:rFonts w:cs="Arial"/>
        </w:rPr>
      </w:pPr>
    </w:p>
    <w:p w:rsidR="004D0F78" w:rsidRPr="00D72FC9" w:rsidRDefault="004D0F78" w:rsidP="004D0F78">
      <w:pPr>
        <w:spacing w:after="240" w:line="240" w:lineRule="exact"/>
        <w:rPr>
          <w:rFonts w:cs="Arial"/>
          <w:sz w:val="22"/>
          <w:szCs w:val="20"/>
          <w:u w:val="single"/>
        </w:rPr>
      </w:pPr>
      <w:r w:rsidRPr="00D72FC9">
        <w:rPr>
          <w:rFonts w:cs="Arial"/>
          <w:sz w:val="22"/>
          <w:szCs w:val="20"/>
          <w:u w:val="single"/>
        </w:rPr>
        <w:t>Das Modul enthält</w:t>
      </w:r>
    </w:p>
    <w:p w:rsidR="004D0F78" w:rsidRPr="00D72FC9" w:rsidRDefault="004D0F78" w:rsidP="004D0F78">
      <w:pPr>
        <w:pStyle w:val="2Listeeingerckt"/>
        <w:rPr>
          <w:rFonts w:cs="Arial"/>
          <w:sz w:val="22"/>
        </w:rPr>
      </w:pPr>
      <w:r w:rsidRPr="00D72FC9">
        <w:rPr>
          <w:rFonts w:cs="Arial"/>
          <w:sz w:val="22"/>
        </w:rPr>
        <w:t xml:space="preserve">Eine </w:t>
      </w:r>
      <w:r w:rsidRPr="00D72FC9">
        <w:rPr>
          <w:rFonts w:cs="Arial"/>
          <w:b/>
          <w:sz w:val="22"/>
        </w:rPr>
        <w:t xml:space="preserve">didaktische Einführung </w:t>
      </w:r>
      <w:r w:rsidRPr="00D72FC9">
        <w:rPr>
          <w:rFonts w:cs="Arial"/>
          <w:sz w:val="22"/>
        </w:rPr>
        <w:t>zum Thema</w:t>
      </w:r>
    </w:p>
    <w:p w:rsidR="004D0F78" w:rsidRPr="00D72FC9" w:rsidRDefault="004D0F78" w:rsidP="004D0F78">
      <w:pPr>
        <w:pStyle w:val="2Listeeingerckt"/>
        <w:rPr>
          <w:rFonts w:cs="Arial"/>
          <w:sz w:val="22"/>
        </w:rPr>
      </w:pPr>
      <w:r w:rsidRPr="00D72FC9">
        <w:rPr>
          <w:rFonts w:cs="Arial"/>
          <w:sz w:val="22"/>
        </w:rPr>
        <w:t xml:space="preserve">Hinweise zu </w:t>
      </w:r>
      <w:r w:rsidRPr="00D72FC9">
        <w:rPr>
          <w:rFonts w:cs="Arial"/>
          <w:b/>
          <w:sz w:val="22"/>
        </w:rPr>
        <w:t xml:space="preserve">Referatsthemen, </w:t>
      </w:r>
      <w:r w:rsidR="00BD4B97" w:rsidRPr="00D72FC9">
        <w:rPr>
          <w:rFonts w:cs="Arial"/>
          <w:b/>
          <w:sz w:val="22"/>
        </w:rPr>
        <w:t xml:space="preserve">Links </w:t>
      </w:r>
      <w:r w:rsidR="00BD4B97" w:rsidRPr="00D72FC9">
        <w:rPr>
          <w:rFonts w:cs="Arial"/>
          <w:sz w:val="22"/>
        </w:rPr>
        <w:t>und</w:t>
      </w:r>
      <w:r w:rsidR="00BD4B97" w:rsidRPr="00D72FC9">
        <w:rPr>
          <w:rFonts w:cs="Arial"/>
          <w:b/>
          <w:sz w:val="22"/>
        </w:rPr>
        <w:t xml:space="preserve"> </w:t>
      </w:r>
      <w:r w:rsidRPr="00D72FC9">
        <w:rPr>
          <w:rFonts w:cs="Arial"/>
          <w:b/>
          <w:sz w:val="22"/>
        </w:rPr>
        <w:t>weiterführender Literatur</w:t>
      </w:r>
    </w:p>
    <w:p w:rsidR="004D0F78" w:rsidRPr="00D72FC9" w:rsidRDefault="004D0F78" w:rsidP="004D0F78">
      <w:pPr>
        <w:pStyle w:val="2Listeeingerckt"/>
        <w:rPr>
          <w:rFonts w:cs="Arial"/>
          <w:sz w:val="22"/>
        </w:rPr>
      </w:pPr>
      <w:r w:rsidRPr="00D72FC9">
        <w:rPr>
          <w:rFonts w:cs="Arial"/>
          <w:b/>
          <w:sz w:val="22"/>
        </w:rPr>
        <w:t>Arbeitsblatt 1:</w:t>
      </w:r>
      <w:r w:rsidRPr="00D72FC9">
        <w:rPr>
          <w:rFonts w:cs="Arial"/>
          <w:sz w:val="22"/>
        </w:rPr>
        <w:t xml:space="preserve"> Das König</w:t>
      </w:r>
      <w:r w:rsidR="00FE34B2" w:rsidRPr="00D72FC9">
        <w:rPr>
          <w:rFonts w:cs="Arial"/>
          <w:sz w:val="22"/>
        </w:rPr>
        <w:t>reich Polen-Litauen als S</w:t>
      </w:r>
      <w:r w:rsidRPr="00D72FC9">
        <w:rPr>
          <w:rFonts w:cs="Arial"/>
          <w:sz w:val="22"/>
        </w:rPr>
        <w:t>taat in Europa</w:t>
      </w:r>
    </w:p>
    <w:p w:rsidR="004D0F78" w:rsidRPr="00D72FC9" w:rsidRDefault="004D0F78" w:rsidP="004D0F78">
      <w:pPr>
        <w:pStyle w:val="2Listeeingerckt"/>
        <w:rPr>
          <w:rFonts w:cs="Arial"/>
          <w:b/>
          <w:sz w:val="22"/>
        </w:rPr>
      </w:pPr>
      <w:r w:rsidRPr="00D72FC9">
        <w:rPr>
          <w:rFonts w:cs="Arial"/>
          <w:b/>
          <w:sz w:val="22"/>
        </w:rPr>
        <w:t xml:space="preserve">Arbeitsblatt 2: </w:t>
      </w:r>
      <w:r w:rsidRPr="00D72FC9">
        <w:rPr>
          <w:rFonts w:cs="Arial"/>
          <w:sz w:val="22"/>
        </w:rPr>
        <w:t>Schlüsselbegriffe der polnischen Adelsrepublik</w:t>
      </w:r>
    </w:p>
    <w:p w:rsidR="004D0F78" w:rsidRPr="00D72FC9" w:rsidRDefault="004D0F78" w:rsidP="004D0F78">
      <w:pPr>
        <w:pStyle w:val="2Listeeingerckt"/>
        <w:rPr>
          <w:rFonts w:cs="Arial"/>
          <w:b/>
          <w:sz w:val="22"/>
        </w:rPr>
      </w:pPr>
      <w:r w:rsidRPr="00D72FC9">
        <w:rPr>
          <w:rFonts w:cs="Arial"/>
          <w:b/>
          <w:sz w:val="22"/>
        </w:rPr>
        <w:t xml:space="preserve">Arbeitsblatt 3: </w:t>
      </w:r>
      <w:r w:rsidRPr="00D72FC9">
        <w:rPr>
          <w:rFonts w:cs="Arial"/>
          <w:sz w:val="22"/>
        </w:rPr>
        <w:t>Aufstieg und Niedergang einer Großmacht</w:t>
      </w:r>
    </w:p>
    <w:p w:rsidR="004D0F78" w:rsidRPr="00D72FC9" w:rsidRDefault="004D0F78" w:rsidP="004D0F78">
      <w:pPr>
        <w:pStyle w:val="2Listeeingerckt"/>
        <w:rPr>
          <w:rFonts w:cs="Arial"/>
          <w:b/>
          <w:sz w:val="22"/>
        </w:rPr>
      </w:pPr>
      <w:r w:rsidRPr="00D72FC9">
        <w:rPr>
          <w:rFonts w:cs="Arial"/>
          <w:b/>
          <w:sz w:val="22"/>
        </w:rPr>
        <w:t xml:space="preserve">Arbeitsblatt 4: </w:t>
      </w:r>
      <w:r w:rsidRPr="00D72FC9">
        <w:rPr>
          <w:rFonts w:cs="Arial"/>
          <w:sz w:val="22"/>
        </w:rPr>
        <w:t>Die Teilungen Polens im 18. Jahrhundert</w:t>
      </w:r>
    </w:p>
    <w:p w:rsidR="004D0F78" w:rsidRPr="00D72FC9" w:rsidRDefault="004D0F78" w:rsidP="004D0F78">
      <w:pPr>
        <w:pStyle w:val="2Listeeingerckt"/>
        <w:rPr>
          <w:rFonts w:cs="Arial"/>
          <w:b/>
          <w:sz w:val="22"/>
        </w:rPr>
      </w:pPr>
      <w:r w:rsidRPr="00D72FC9">
        <w:rPr>
          <w:rFonts w:cs="Arial"/>
          <w:b/>
          <w:sz w:val="22"/>
        </w:rPr>
        <w:t xml:space="preserve">Arbeitsblatt 5: </w:t>
      </w:r>
      <w:r w:rsidRPr="00D72FC9">
        <w:rPr>
          <w:rFonts w:cs="Arial"/>
          <w:sz w:val="22"/>
        </w:rPr>
        <w:t>Begründungen der Teilungsmächte</w:t>
      </w:r>
    </w:p>
    <w:p w:rsidR="004D0F78" w:rsidRPr="00D72FC9" w:rsidRDefault="004D0F78" w:rsidP="004D0F78">
      <w:pPr>
        <w:pStyle w:val="2Listeeingerckt"/>
        <w:rPr>
          <w:rFonts w:cs="Arial"/>
          <w:b/>
          <w:sz w:val="22"/>
        </w:rPr>
      </w:pPr>
      <w:r w:rsidRPr="00D72FC9">
        <w:rPr>
          <w:rFonts w:cs="Arial"/>
          <w:b/>
          <w:sz w:val="22"/>
        </w:rPr>
        <w:t xml:space="preserve">Arbeitsblatt 6: </w:t>
      </w:r>
      <w:r w:rsidRPr="00D72FC9">
        <w:rPr>
          <w:rFonts w:cs="Arial"/>
          <w:sz w:val="22"/>
          <w:lang w:eastAsia="en-US"/>
        </w:rPr>
        <w:t xml:space="preserve">Die polnische und </w:t>
      </w:r>
      <w:r w:rsidR="00003426" w:rsidRPr="00D72FC9">
        <w:rPr>
          <w:rFonts w:cs="Arial"/>
          <w:sz w:val="22"/>
          <w:lang w:eastAsia="en-US"/>
        </w:rPr>
        <w:t xml:space="preserve">die </w:t>
      </w:r>
      <w:r w:rsidRPr="00D72FC9">
        <w:rPr>
          <w:rFonts w:cs="Arial"/>
          <w:sz w:val="22"/>
          <w:lang w:eastAsia="en-US"/>
        </w:rPr>
        <w:t>deutsche Nationalhymne im Vergleich</w:t>
      </w:r>
    </w:p>
    <w:p w:rsidR="004D0F78" w:rsidRPr="00D72FC9" w:rsidRDefault="004D0F78" w:rsidP="004D0F78">
      <w:pPr>
        <w:pStyle w:val="2Listeeingerckt"/>
        <w:numPr>
          <w:ilvl w:val="0"/>
          <w:numId w:val="0"/>
        </w:numPr>
        <w:rPr>
          <w:rFonts w:cs="Arial"/>
        </w:rPr>
      </w:pPr>
      <w:r w:rsidRPr="00D72FC9">
        <w:rPr>
          <w:rFonts w:cs="Arial"/>
          <w:szCs w:val="24"/>
        </w:rPr>
        <w:br w:type="page"/>
      </w:r>
    </w:p>
    <w:p w:rsidR="004D0F78" w:rsidRPr="001C3BE3" w:rsidRDefault="004D0F78" w:rsidP="004D0F78">
      <w:pPr>
        <w:pStyle w:val="0berschrift3"/>
        <w:rPr>
          <w:rFonts w:cs="Arial"/>
          <w:b w:val="0"/>
          <w:i/>
          <w:sz w:val="24"/>
          <w:u w:val="single"/>
          <w:lang w:eastAsia="en-US"/>
        </w:rPr>
      </w:pPr>
      <w:r w:rsidRPr="001C3BE3">
        <w:rPr>
          <w:rFonts w:cs="Arial"/>
          <w:b w:val="0"/>
          <w:i/>
          <w:sz w:val="24"/>
          <w:u w:val="single"/>
          <w:lang w:eastAsia="en-US"/>
        </w:rPr>
        <w:lastRenderedPageBreak/>
        <w:t>Didaktische Einführung zum Thema</w:t>
      </w:r>
    </w:p>
    <w:p w:rsidR="00BD4B97" w:rsidRPr="00D72FC9" w:rsidRDefault="00BD4B97" w:rsidP="00BD4B97">
      <w:pPr>
        <w:pStyle w:val="1Standardflietext"/>
        <w:rPr>
          <w:rFonts w:cs="Arial"/>
          <w:lang w:eastAsia="en-US"/>
        </w:rPr>
      </w:pPr>
    </w:p>
    <w:p w:rsidR="004D0F78" w:rsidRPr="003757C1" w:rsidRDefault="004D0F78" w:rsidP="004D0F78">
      <w:pPr>
        <w:pStyle w:val="0berschrift1"/>
        <w:spacing w:after="120" w:line="240" w:lineRule="auto"/>
        <w:rPr>
          <w:rFonts w:cs="Arial"/>
          <w:lang w:eastAsia="en-US"/>
        </w:rPr>
      </w:pPr>
      <w:r w:rsidRPr="003757C1">
        <w:rPr>
          <w:rFonts w:eastAsia="SabonCECV" w:cs="Arial"/>
        </w:rPr>
        <w:t>Die polnische Adelsrepublik</w:t>
      </w:r>
      <w:r w:rsidR="00003426" w:rsidRPr="00D72FC9">
        <w:rPr>
          <w:rFonts w:cs="Arial"/>
          <w:lang w:eastAsia="en-US"/>
        </w:rPr>
        <w:br/>
      </w:r>
      <w:r w:rsidRPr="003757C1">
        <w:rPr>
          <w:rFonts w:eastAsia="SabonCECV" w:cs="Arial"/>
        </w:rPr>
        <w:t>Vom Goldenen Zeitalter zum Niedergang einer Großmacht (1569</w:t>
      </w:r>
      <w:r w:rsidR="001C3BE3">
        <w:rPr>
          <w:rFonts w:eastAsia="SabonCECV" w:cs="Arial"/>
        </w:rPr>
        <w:t>-</w:t>
      </w:r>
      <w:r w:rsidRPr="003757C1">
        <w:rPr>
          <w:rFonts w:eastAsia="SabonCECV" w:cs="Arial"/>
        </w:rPr>
        <w:t>1795)</w:t>
      </w:r>
    </w:p>
    <w:p w:rsidR="004D0F78" w:rsidRPr="00D72FC9" w:rsidRDefault="004D0F78" w:rsidP="004D0F78">
      <w:pPr>
        <w:spacing w:after="0" w:line="240" w:lineRule="auto"/>
        <w:ind w:right="-794"/>
        <w:rPr>
          <w:rFonts w:cs="Arial"/>
          <w:b/>
          <w:sz w:val="24"/>
          <w:lang w:eastAsia="en-US"/>
        </w:rPr>
      </w:pPr>
    </w:p>
    <w:p w:rsidR="004D0F78" w:rsidRPr="00D72FC9" w:rsidRDefault="004D0F78" w:rsidP="004D0F78">
      <w:pPr>
        <w:pStyle w:val="0berschrift2"/>
        <w:rPr>
          <w:rFonts w:cs="Arial"/>
        </w:rPr>
      </w:pPr>
      <w:r w:rsidRPr="00D72FC9">
        <w:rPr>
          <w:rFonts w:cs="Arial"/>
        </w:rPr>
        <w:t xml:space="preserve">Hinweise zum Einsatz im Unterricht </w:t>
      </w:r>
    </w:p>
    <w:p w:rsidR="004D0F78" w:rsidRPr="00D72FC9" w:rsidRDefault="004D0F78" w:rsidP="00BD4B97">
      <w:pPr>
        <w:pStyle w:val="1Standardflietext"/>
        <w:jc w:val="both"/>
        <w:rPr>
          <w:rFonts w:cs="Arial"/>
          <w:sz w:val="22"/>
          <w:lang w:eastAsia="en-US"/>
        </w:rPr>
      </w:pPr>
      <w:r w:rsidRPr="00D72FC9">
        <w:rPr>
          <w:rFonts w:cs="Arial"/>
          <w:sz w:val="22"/>
          <w:lang w:eastAsia="en-US"/>
        </w:rPr>
        <w:t>Das Thema „</w:t>
      </w:r>
      <w:r w:rsidRPr="00D72FC9">
        <w:rPr>
          <w:rFonts w:eastAsia="SabonCECV" w:cs="Arial"/>
          <w:sz w:val="22"/>
        </w:rPr>
        <w:t xml:space="preserve">Die </w:t>
      </w:r>
      <w:r w:rsidRPr="001C3BE3">
        <w:rPr>
          <w:rFonts w:eastAsia="SabonCECV" w:cs="Arial"/>
          <w:sz w:val="22"/>
          <w:szCs w:val="22"/>
        </w:rPr>
        <w:t>polnische Adelsrepublik</w:t>
      </w:r>
      <w:r w:rsidR="001C3BE3" w:rsidRPr="003757C1">
        <w:rPr>
          <w:rFonts w:eastAsia="SabonCECV" w:cs="Arial"/>
          <w:sz w:val="22"/>
          <w:szCs w:val="22"/>
        </w:rPr>
        <w:t xml:space="preserve"> – </w:t>
      </w:r>
      <w:r w:rsidRPr="003757C1">
        <w:rPr>
          <w:rFonts w:eastAsia="SabonCECV" w:cs="Arial"/>
          <w:sz w:val="22"/>
          <w:szCs w:val="22"/>
        </w:rPr>
        <w:t>Vom Goldenen Zeitalter zum Niedergang einer Großmacht (1569</w:t>
      </w:r>
      <w:r w:rsidR="00003426" w:rsidRPr="003757C1">
        <w:rPr>
          <w:rFonts w:eastAsia="SabonCECV" w:cs="Arial"/>
          <w:sz w:val="22"/>
          <w:szCs w:val="22"/>
        </w:rPr>
        <w:t>-</w:t>
      </w:r>
      <w:r w:rsidRPr="003757C1">
        <w:rPr>
          <w:rFonts w:eastAsia="SabonCECV" w:cs="Arial"/>
          <w:sz w:val="22"/>
          <w:szCs w:val="22"/>
        </w:rPr>
        <w:t xml:space="preserve">1795)“ </w:t>
      </w:r>
      <w:r w:rsidRPr="001C3BE3">
        <w:rPr>
          <w:rFonts w:eastAsia="SabonCECV" w:cs="Arial"/>
          <w:sz w:val="22"/>
          <w:szCs w:val="22"/>
        </w:rPr>
        <w:t>kann</w:t>
      </w:r>
      <w:r w:rsidRPr="00D72FC9">
        <w:rPr>
          <w:rFonts w:eastAsia="SabonCECV" w:cs="Arial"/>
          <w:sz w:val="22"/>
        </w:rPr>
        <w:t xml:space="preserve"> im Unterricht behandelt werden</w:t>
      </w:r>
    </w:p>
    <w:p w:rsidR="004D0F78" w:rsidRPr="00D72FC9" w:rsidRDefault="004D0F78" w:rsidP="00BD4B97">
      <w:pPr>
        <w:pStyle w:val="2Listeeingerckt"/>
        <w:jc w:val="both"/>
        <w:rPr>
          <w:rFonts w:cs="Arial"/>
          <w:sz w:val="21"/>
          <w:szCs w:val="21"/>
        </w:rPr>
      </w:pPr>
      <w:r w:rsidRPr="00D72FC9">
        <w:rPr>
          <w:rFonts w:cs="Arial"/>
          <w:sz w:val="21"/>
          <w:szCs w:val="21"/>
        </w:rPr>
        <w:t>im Kontext der Unterrichtseinheit „Die Teilungen Polens“</w:t>
      </w:r>
    </w:p>
    <w:p w:rsidR="008161C1" w:rsidRPr="00D72FC9" w:rsidRDefault="008161C1" w:rsidP="008161C1">
      <w:pPr>
        <w:pStyle w:val="2Listeeingerckt"/>
        <w:jc w:val="both"/>
        <w:rPr>
          <w:rFonts w:cs="Arial"/>
          <w:sz w:val="21"/>
          <w:szCs w:val="21"/>
        </w:rPr>
      </w:pPr>
      <w:r w:rsidRPr="00D72FC9">
        <w:rPr>
          <w:rFonts w:cs="Arial"/>
          <w:sz w:val="21"/>
          <w:szCs w:val="21"/>
        </w:rPr>
        <w:t xml:space="preserve">als Beispiel eines multinationalen Staates mit religiöser und nationaler Toleranz im 16. Jh. </w:t>
      </w:r>
    </w:p>
    <w:p w:rsidR="004D0F78" w:rsidRPr="00D72FC9" w:rsidRDefault="004D0F78" w:rsidP="00BD4B97">
      <w:pPr>
        <w:pStyle w:val="2Listeeingerckt"/>
        <w:jc w:val="both"/>
        <w:rPr>
          <w:rFonts w:cs="Arial"/>
          <w:sz w:val="21"/>
          <w:szCs w:val="21"/>
        </w:rPr>
      </w:pPr>
      <w:r w:rsidRPr="00D72FC9">
        <w:rPr>
          <w:rFonts w:cs="Arial"/>
          <w:sz w:val="21"/>
          <w:szCs w:val="21"/>
        </w:rPr>
        <w:t>als Beispiel für den Aufstieg und Niedergang einer europäischen Großmacht im 18. Jahrhundert</w:t>
      </w:r>
    </w:p>
    <w:p w:rsidR="004D0F78" w:rsidRPr="00D72FC9" w:rsidRDefault="004D0F78" w:rsidP="00BD4B97">
      <w:pPr>
        <w:pStyle w:val="2Listeeingerckt"/>
        <w:jc w:val="both"/>
        <w:rPr>
          <w:rFonts w:cs="Arial"/>
          <w:sz w:val="21"/>
          <w:szCs w:val="21"/>
        </w:rPr>
      </w:pPr>
      <w:r w:rsidRPr="00D72FC9">
        <w:rPr>
          <w:rFonts w:cs="Arial"/>
          <w:sz w:val="21"/>
          <w:szCs w:val="21"/>
        </w:rPr>
        <w:t>im Kontext d</w:t>
      </w:r>
      <w:r w:rsidR="008161C1" w:rsidRPr="00D72FC9">
        <w:rPr>
          <w:rFonts w:cs="Arial"/>
          <w:sz w:val="21"/>
          <w:szCs w:val="21"/>
        </w:rPr>
        <w:t>er Geschichte Sachsens und seiner</w:t>
      </w:r>
      <w:r w:rsidRPr="00D72FC9">
        <w:rPr>
          <w:rFonts w:cs="Arial"/>
          <w:sz w:val="21"/>
          <w:szCs w:val="21"/>
        </w:rPr>
        <w:t xml:space="preserve"> Verbindung zu Polen</w:t>
      </w:r>
    </w:p>
    <w:p w:rsidR="004D0F78" w:rsidRPr="00D72FC9" w:rsidRDefault="004D0F78" w:rsidP="00BD4B97">
      <w:pPr>
        <w:pStyle w:val="2Listeeingerckt"/>
        <w:jc w:val="both"/>
        <w:rPr>
          <w:rFonts w:cs="Arial"/>
          <w:sz w:val="21"/>
          <w:szCs w:val="21"/>
        </w:rPr>
      </w:pPr>
      <w:r w:rsidRPr="00D72FC9">
        <w:rPr>
          <w:rFonts w:cs="Arial"/>
          <w:sz w:val="21"/>
          <w:szCs w:val="21"/>
        </w:rPr>
        <w:t>im Kontext der Vorbereitung von Schüleraustauschprogrammen und Klassenfahrten nach Polen</w:t>
      </w:r>
    </w:p>
    <w:p w:rsidR="004D0F78" w:rsidRDefault="004D0F78" w:rsidP="004D0F78">
      <w:pPr>
        <w:spacing w:line="240" w:lineRule="exact"/>
        <w:rPr>
          <w:rFonts w:cs="Arial"/>
          <w:sz w:val="24"/>
        </w:rPr>
      </w:pPr>
    </w:p>
    <w:p w:rsidR="00104275" w:rsidRPr="00104275" w:rsidRDefault="00104275" w:rsidP="004D0F78">
      <w:pPr>
        <w:spacing w:line="240" w:lineRule="exact"/>
        <w:rPr>
          <w:rFonts w:cs="Arial"/>
          <w:sz w:val="22"/>
          <w:u w:val="single"/>
        </w:rPr>
      </w:pPr>
      <w:r w:rsidRPr="00104275">
        <w:rPr>
          <w:rFonts w:cs="Arial"/>
          <w:sz w:val="22"/>
          <w:u w:val="single"/>
        </w:rPr>
        <w:t>Radio</w:t>
      </w:r>
    </w:p>
    <w:p w:rsidR="00104275" w:rsidRPr="00104275" w:rsidRDefault="00104275" w:rsidP="00104275">
      <w:pPr>
        <w:spacing w:line="240" w:lineRule="exact"/>
        <w:jc w:val="both"/>
        <w:rPr>
          <w:rFonts w:cs="Arial"/>
          <w:b/>
          <w:sz w:val="22"/>
          <w:szCs w:val="22"/>
        </w:rPr>
      </w:pPr>
      <w:r w:rsidRPr="00104275">
        <w:rPr>
          <w:rFonts w:cs="Arial"/>
          <w:b/>
          <w:sz w:val="22"/>
          <w:szCs w:val="22"/>
        </w:rPr>
        <w:t>„Die Teilungen Polens: Ein Land verschwindet“ (20.45 Min.)</w:t>
      </w:r>
    </w:p>
    <w:p w:rsidR="00104275" w:rsidRPr="00104275" w:rsidRDefault="004B0C4E" w:rsidP="00104275">
      <w:pPr>
        <w:spacing w:line="240" w:lineRule="exact"/>
        <w:jc w:val="both"/>
        <w:rPr>
          <w:rFonts w:cs="Arial"/>
          <w:sz w:val="22"/>
          <w:szCs w:val="22"/>
        </w:rPr>
      </w:pPr>
      <w:hyperlink r:id="rId9" w:history="1">
        <w:r w:rsidR="00104275" w:rsidRPr="00104275">
          <w:rPr>
            <w:rStyle w:val="Hyperlink"/>
            <w:rFonts w:cs="Arial"/>
            <w:sz w:val="22"/>
            <w:szCs w:val="22"/>
          </w:rPr>
          <w:t>http://www.br.de/radio/bayern2/sendungen/radiowissen/polen-teilung100.html</w:t>
        </w:r>
      </w:hyperlink>
      <w:r w:rsidR="00104275" w:rsidRPr="00104275">
        <w:rPr>
          <w:rFonts w:cs="Arial"/>
          <w:sz w:val="22"/>
          <w:szCs w:val="22"/>
        </w:rPr>
        <w:t xml:space="preserve"> </w:t>
      </w:r>
    </w:p>
    <w:p w:rsidR="00104275" w:rsidRPr="00104275" w:rsidRDefault="00104275" w:rsidP="00104275">
      <w:pPr>
        <w:spacing w:line="240" w:lineRule="exact"/>
        <w:jc w:val="both"/>
        <w:rPr>
          <w:rFonts w:cs="Arial"/>
          <w:sz w:val="22"/>
          <w:szCs w:val="22"/>
        </w:rPr>
      </w:pPr>
      <w:r w:rsidRPr="00104275">
        <w:rPr>
          <w:rFonts w:cs="Arial"/>
          <w:sz w:val="22"/>
          <w:szCs w:val="22"/>
        </w:rPr>
        <w:t xml:space="preserve">Diese Reportage des Bayrischen Rundfunks aus dem Jahr 2012 gibt einen guten Überblick über die Hintergründe der polnischen Teilungen (Positionen der </w:t>
      </w:r>
      <w:proofErr w:type="spellStart"/>
      <w:r w:rsidRPr="00104275">
        <w:rPr>
          <w:rFonts w:cs="Arial"/>
          <w:sz w:val="22"/>
          <w:szCs w:val="22"/>
        </w:rPr>
        <w:t>HerrscherInnen</w:t>
      </w:r>
      <w:proofErr w:type="spellEnd"/>
      <w:r w:rsidRPr="00104275">
        <w:rPr>
          <w:rFonts w:cs="Arial"/>
          <w:sz w:val="22"/>
          <w:szCs w:val="22"/>
        </w:rPr>
        <w:t xml:space="preserve">, Verfassung von 1791, Nationalhymne, Widerstand, </w:t>
      </w:r>
      <w:proofErr w:type="spellStart"/>
      <w:r w:rsidRPr="00104275">
        <w:rPr>
          <w:rFonts w:cs="Arial"/>
          <w:sz w:val="22"/>
          <w:szCs w:val="22"/>
        </w:rPr>
        <w:t>Kościuszko</w:t>
      </w:r>
      <w:proofErr w:type="spellEnd"/>
      <w:r w:rsidRPr="00104275">
        <w:rPr>
          <w:rFonts w:cs="Arial"/>
          <w:sz w:val="22"/>
          <w:szCs w:val="22"/>
        </w:rPr>
        <w:t>-Aufstand 1794</w:t>
      </w:r>
      <w:r>
        <w:rPr>
          <w:rFonts w:cs="Arial"/>
          <w:sz w:val="22"/>
          <w:szCs w:val="22"/>
        </w:rPr>
        <w:t xml:space="preserve">, </w:t>
      </w:r>
      <w:r w:rsidR="00572156" w:rsidRPr="00572156">
        <w:rPr>
          <w:rFonts w:cs="Arial"/>
          <w:sz w:val="22"/>
          <w:szCs w:val="22"/>
        </w:rPr>
        <w:t>Langzeitwirk</w:t>
      </w:r>
      <w:r w:rsidR="009C28A4">
        <w:rPr>
          <w:rFonts w:cs="Arial"/>
          <w:sz w:val="22"/>
          <w:szCs w:val="22"/>
        </w:rPr>
        <w:t>ungen der Teilungen, Deutungen</w:t>
      </w:r>
      <w:r w:rsidRPr="00104275">
        <w:rPr>
          <w:rFonts w:cs="Arial"/>
          <w:sz w:val="22"/>
          <w:szCs w:val="22"/>
        </w:rPr>
        <w:t xml:space="preserve">). </w:t>
      </w:r>
    </w:p>
    <w:p w:rsidR="00104275" w:rsidRPr="00D72FC9" w:rsidRDefault="00104275" w:rsidP="004D0F78">
      <w:pPr>
        <w:spacing w:line="240" w:lineRule="exact"/>
        <w:rPr>
          <w:rFonts w:cs="Arial"/>
          <w:sz w:val="24"/>
        </w:rPr>
      </w:pPr>
    </w:p>
    <w:p w:rsidR="004D0F78" w:rsidRPr="00D72FC9" w:rsidRDefault="004D0F78" w:rsidP="004D0F78">
      <w:pPr>
        <w:pStyle w:val="0berschrift2"/>
        <w:rPr>
          <w:rFonts w:cs="Arial"/>
        </w:rPr>
      </w:pPr>
      <w:r w:rsidRPr="00D72FC9">
        <w:rPr>
          <w:rFonts w:cs="Arial"/>
        </w:rPr>
        <w:t>Einführungstext:</w:t>
      </w:r>
    </w:p>
    <w:p w:rsidR="004D0F78" w:rsidRPr="00D72FC9" w:rsidRDefault="004D0F78" w:rsidP="00BD4B97">
      <w:pPr>
        <w:pStyle w:val="1Standardflietext"/>
        <w:jc w:val="both"/>
        <w:rPr>
          <w:rFonts w:cs="Arial"/>
          <w:sz w:val="22"/>
        </w:rPr>
      </w:pPr>
      <w:r w:rsidRPr="00D72FC9">
        <w:rPr>
          <w:rFonts w:cs="Arial"/>
          <w:sz w:val="22"/>
        </w:rPr>
        <w:t>Der Einführungstext vermittelt einen knappen Überblick über die wichtigsten Ereignisse der polnischen Geschichte zwischen dem 16.</w:t>
      </w:r>
      <w:r w:rsidR="00003426" w:rsidRPr="00D72FC9">
        <w:rPr>
          <w:rFonts w:cs="Arial"/>
          <w:sz w:val="22"/>
        </w:rPr>
        <w:t> </w:t>
      </w:r>
      <w:r w:rsidRPr="00D72FC9">
        <w:rPr>
          <w:rFonts w:cs="Arial"/>
          <w:sz w:val="22"/>
        </w:rPr>
        <w:t>und 18.</w:t>
      </w:r>
      <w:r w:rsidR="00003426" w:rsidRPr="00D72FC9">
        <w:rPr>
          <w:rFonts w:cs="Arial"/>
          <w:sz w:val="22"/>
        </w:rPr>
        <w:t> </w:t>
      </w:r>
      <w:r w:rsidRPr="00D72FC9">
        <w:rPr>
          <w:rFonts w:cs="Arial"/>
          <w:sz w:val="22"/>
        </w:rPr>
        <w:t xml:space="preserve">Jahrhundert. Ausgehend von der Entstehung eines der größten Flächenstaaten Europas durch die </w:t>
      </w:r>
      <w:proofErr w:type="spellStart"/>
      <w:r w:rsidRPr="00D72FC9">
        <w:rPr>
          <w:rFonts w:cs="Arial"/>
          <w:sz w:val="22"/>
        </w:rPr>
        <w:t>Lubliner</w:t>
      </w:r>
      <w:proofErr w:type="spellEnd"/>
      <w:r w:rsidRPr="00D72FC9">
        <w:rPr>
          <w:rFonts w:cs="Arial"/>
          <w:sz w:val="22"/>
        </w:rPr>
        <w:t xml:space="preserve"> Union 1569 skizziert er dessen Entwicklung unter der Herrschaft der sächsischen Könige August II. und August III. bis hin zu seiner Auflösung durch die Teilungen Polens Ende des 18. Jahrhunderts. Der Text dient sowohl zur Vorbereitung für </w:t>
      </w:r>
      <w:proofErr w:type="spellStart"/>
      <w:r w:rsidRPr="00D72FC9">
        <w:rPr>
          <w:rFonts w:cs="Arial"/>
          <w:sz w:val="22"/>
        </w:rPr>
        <w:t>Lehrer</w:t>
      </w:r>
      <w:r w:rsidR="005C34B3" w:rsidRPr="00D72FC9">
        <w:rPr>
          <w:rFonts w:cs="Arial"/>
          <w:sz w:val="22"/>
        </w:rPr>
        <w:t>Innen</w:t>
      </w:r>
      <w:proofErr w:type="spellEnd"/>
      <w:r w:rsidRPr="00D72FC9">
        <w:rPr>
          <w:rFonts w:cs="Arial"/>
          <w:sz w:val="22"/>
        </w:rPr>
        <w:t xml:space="preserve"> als auch als Arbeitsgrundlage für </w:t>
      </w:r>
      <w:proofErr w:type="spellStart"/>
      <w:r w:rsidRPr="00D72FC9">
        <w:rPr>
          <w:rFonts w:cs="Arial"/>
          <w:sz w:val="22"/>
        </w:rPr>
        <w:t>Schüler</w:t>
      </w:r>
      <w:r w:rsidR="005C34B3" w:rsidRPr="00D72FC9">
        <w:rPr>
          <w:rFonts w:cs="Arial"/>
          <w:sz w:val="22"/>
        </w:rPr>
        <w:t>Innen</w:t>
      </w:r>
      <w:proofErr w:type="spellEnd"/>
      <w:r w:rsidRPr="00D72FC9">
        <w:rPr>
          <w:rFonts w:cs="Arial"/>
          <w:sz w:val="22"/>
        </w:rPr>
        <w:t xml:space="preserve"> zur Bearbeitung der Arbeitsblätter.</w:t>
      </w:r>
    </w:p>
    <w:p w:rsidR="004D0F78" w:rsidRPr="00D72FC9" w:rsidRDefault="004D0F78" w:rsidP="004D0F78">
      <w:pPr>
        <w:spacing w:line="240" w:lineRule="exact"/>
        <w:rPr>
          <w:rFonts w:cs="Arial"/>
          <w:b/>
          <w:sz w:val="24"/>
        </w:rPr>
      </w:pPr>
    </w:p>
    <w:p w:rsidR="004D0F78" w:rsidRPr="00D72FC9" w:rsidRDefault="004D0F78" w:rsidP="004D0F78">
      <w:pPr>
        <w:pStyle w:val="0berschrift2"/>
        <w:rPr>
          <w:rFonts w:cs="Arial"/>
        </w:rPr>
      </w:pPr>
      <w:r w:rsidRPr="00D72FC9">
        <w:rPr>
          <w:rFonts w:cs="Arial"/>
        </w:rPr>
        <w:t>Themen der Arbeitsblätter</w:t>
      </w:r>
    </w:p>
    <w:p w:rsidR="004D0F78" w:rsidRPr="00D72FC9" w:rsidRDefault="004D0F78" w:rsidP="004D0F78">
      <w:pPr>
        <w:pStyle w:val="1Standardflietext"/>
        <w:spacing w:after="0"/>
        <w:rPr>
          <w:rFonts w:cs="Arial"/>
          <w:sz w:val="22"/>
        </w:rPr>
      </w:pPr>
      <w:r w:rsidRPr="00D72FC9">
        <w:rPr>
          <w:rFonts w:cs="Arial"/>
          <w:b/>
          <w:sz w:val="22"/>
        </w:rPr>
        <w:t>Arbeitsblatt 1:</w:t>
      </w:r>
      <w:r w:rsidRPr="00D72FC9">
        <w:rPr>
          <w:rFonts w:cs="Arial"/>
          <w:sz w:val="22"/>
        </w:rPr>
        <w:t xml:space="preserve"> Das Königreich Polen-Litauen als Flächenstaat in Europa</w:t>
      </w:r>
    </w:p>
    <w:p w:rsidR="004D0F78" w:rsidRPr="00D72FC9" w:rsidRDefault="004D0F78" w:rsidP="004D0F78">
      <w:pPr>
        <w:pStyle w:val="1Standardflietext"/>
        <w:spacing w:after="0"/>
        <w:rPr>
          <w:rFonts w:cs="Arial"/>
          <w:b/>
          <w:sz w:val="22"/>
        </w:rPr>
      </w:pPr>
      <w:r w:rsidRPr="00D72FC9">
        <w:rPr>
          <w:rFonts w:cs="Arial"/>
          <w:b/>
          <w:sz w:val="22"/>
        </w:rPr>
        <w:t xml:space="preserve">Arbeitsblatt 2: </w:t>
      </w:r>
      <w:r w:rsidRPr="00D72FC9">
        <w:rPr>
          <w:rFonts w:cs="Arial"/>
          <w:sz w:val="22"/>
        </w:rPr>
        <w:t>Schlüsselbegriffe der polnischen Adelsrepublik</w:t>
      </w:r>
    </w:p>
    <w:p w:rsidR="004D0F78" w:rsidRPr="00D72FC9" w:rsidRDefault="004D0F78" w:rsidP="004D0F78">
      <w:pPr>
        <w:pStyle w:val="1Standardflietext"/>
        <w:spacing w:after="0"/>
        <w:rPr>
          <w:rFonts w:cs="Arial"/>
          <w:b/>
          <w:sz w:val="22"/>
        </w:rPr>
      </w:pPr>
      <w:r w:rsidRPr="00D72FC9">
        <w:rPr>
          <w:rFonts w:cs="Arial"/>
          <w:b/>
          <w:sz w:val="22"/>
        </w:rPr>
        <w:t xml:space="preserve">Arbeitsblatt 3: </w:t>
      </w:r>
      <w:r w:rsidRPr="00D72FC9">
        <w:rPr>
          <w:rFonts w:cs="Arial"/>
          <w:sz w:val="22"/>
        </w:rPr>
        <w:t>Aufstieg und Niedergang einer Großmacht</w:t>
      </w:r>
    </w:p>
    <w:p w:rsidR="004D0F78" w:rsidRPr="00D72FC9" w:rsidRDefault="004D0F78" w:rsidP="004D0F78">
      <w:pPr>
        <w:pStyle w:val="1Standardflietext"/>
        <w:spacing w:after="0"/>
        <w:rPr>
          <w:rFonts w:cs="Arial"/>
          <w:b/>
          <w:sz w:val="22"/>
        </w:rPr>
      </w:pPr>
      <w:r w:rsidRPr="00D72FC9">
        <w:rPr>
          <w:rFonts w:cs="Arial"/>
          <w:b/>
          <w:sz w:val="22"/>
        </w:rPr>
        <w:t xml:space="preserve">Arbeitsblatt 4: </w:t>
      </w:r>
      <w:r w:rsidRPr="00D72FC9">
        <w:rPr>
          <w:rFonts w:cs="Arial"/>
          <w:sz w:val="22"/>
        </w:rPr>
        <w:t>Die Teilungen Polens im 18.</w:t>
      </w:r>
      <w:r w:rsidR="00003426" w:rsidRPr="00D72FC9">
        <w:rPr>
          <w:rFonts w:cs="Arial"/>
          <w:sz w:val="22"/>
        </w:rPr>
        <w:t> </w:t>
      </w:r>
      <w:r w:rsidRPr="00D72FC9">
        <w:rPr>
          <w:rFonts w:cs="Arial"/>
          <w:sz w:val="22"/>
        </w:rPr>
        <w:t>Jahrhundert</w:t>
      </w:r>
    </w:p>
    <w:p w:rsidR="004D0F78" w:rsidRPr="00D72FC9" w:rsidRDefault="004D0F78" w:rsidP="004D0F78">
      <w:pPr>
        <w:pStyle w:val="1Standardflietext"/>
        <w:spacing w:after="0"/>
        <w:rPr>
          <w:rFonts w:cs="Arial"/>
          <w:b/>
          <w:sz w:val="22"/>
        </w:rPr>
      </w:pPr>
      <w:r w:rsidRPr="00D72FC9">
        <w:rPr>
          <w:rFonts w:cs="Arial"/>
          <w:b/>
          <w:sz w:val="22"/>
        </w:rPr>
        <w:t xml:space="preserve">Arbeitsblatt 5: </w:t>
      </w:r>
      <w:r w:rsidRPr="00D72FC9">
        <w:rPr>
          <w:rFonts w:cs="Arial"/>
          <w:sz w:val="22"/>
        </w:rPr>
        <w:t>Begründungen der Teilungsmächte</w:t>
      </w:r>
    </w:p>
    <w:p w:rsidR="00090646" w:rsidRPr="00D72FC9" w:rsidRDefault="004D0F78" w:rsidP="00090646">
      <w:pPr>
        <w:pStyle w:val="1Standardflietext"/>
        <w:spacing w:after="0"/>
        <w:rPr>
          <w:rFonts w:cs="Arial"/>
          <w:b/>
          <w:sz w:val="28"/>
        </w:rPr>
      </w:pPr>
      <w:r w:rsidRPr="00D72FC9">
        <w:rPr>
          <w:rFonts w:cs="Arial"/>
          <w:b/>
          <w:sz w:val="22"/>
        </w:rPr>
        <w:t xml:space="preserve">Arbeitsblatt 6: </w:t>
      </w:r>
      <w:r w:rsidRPr="00D72FC9">
        <w:rPr>
          <w:rFonts w:cs="Arial"/>
          <w:sz w:val="22"/>
          <w:lang w:eastAsia="en-US"/>
        </w:rPr>
        <w:t>Die polnische und deutsche Nationalhymne im Vergleich</w:t>
      </w:r>
      <w:r w:rsidR="00090646" w:rsidRPr="00D72FC9">
        <w:rPr>
          <w:rFonts w:cs="Arial"/>
          <w:b/>
          <w:sz w:val="28"/>
        </w:rPr>
        <w:br w:type="page"/>
      </w:r>
    </w:p>
    <w:p w:rsidR="004D0F78" w:rsidRPr="003757C1" w:rsidRDefault="004D0F78" w:rsidP="004D0F78">
      <w:pPr>
        <w:pStyle w:val="0berschrift2"/>
        <w:rPr>
          <w:rFonts w:cs="Arial"/>
          <w:i/>
          <w:lang w:eastAsia="en-US"/>
        </w:rPr>
      </w:pPr>
      <w:r w:rsidRPr="003757C1">
        <w:rPr>
          <w:rFonts w:cs="Arial"/>
          <w:i/>
          <w:lang w:eastAsia="en-US"/>
        </w:rPr>
        <w:lastRenderedPageBreak/>
        <w:t>Themen, Links und Literatur</w:t>
      </w:r>
    </w:p>
    <w:p w:rsidR="004D0F78" w:rsidRPr="00F169E8" w:rsidRDefault="004D0F78" w:rsidP="00BD4B97">
      <w:pPr>
        <w:pStyle w:val="0berschrift3"/>
        <w:jc w:val="both"/>
        <w:rPr>
          <w:rFonts w:cs="Arial"/>
          <w:sz w:val="22"/>
          <w:szCs w:val="22"/>
          <w:lang w:eastAsia="en-US"/>
        </w:rPr>
      </w:pPr>
      <w:r w:rsidRPr="00D72FC9">
        <w:rPr>
          <w:rFonts w:cs="Arial"/>
          <w:sz w:val="22"/>
          <w:szCs w:val="22"/>
          <w:lang w:eastAsia="en-US"/>
        </w:rPr>
        <w:t xml:space="preserve">Themen für Referate und </w:t>
      </w:r>
      <w:r w:rsidR="00BD4B97" w:rsidRPr="00596E61">
        <w:rPr>
          <w:rFonts w:cs="Arial"/>
          <w:sz w:val="22"/>
          <w:szCs w:val="22"/>
          <w:lang w:eastAsia="en-US"/>
        </w:rPr>
        <w:t>Hausarbeiten</w:t>
      </w:r>
    </w:p>
    <w:p w:rsidR="004D0F78" w:rsidRPr="003757C1" w:rsidRDefault="001C3BE3" w:rsidP="00BD4B97">
      <w:pPr>
        <w:pStyle w:val="1Standardflietext"/>
        <w:jc w:val="both"/>
        <w:rPr>
          <w:rFonts w:cs="Arial"/>
          <w:sz w:val="22"/>
          <w:szCs w:val="22"/>
          <w:lang w:eastAsia="en-US"/>
        </w:rPr>
      </w:pPr>
      <w:r w:rsidRPr="003757C1">
        <w:rPr>
          <w:rFonts w:cs="Arial"/>
          <w:sz w:val="22"/>
          <w:szCs w:val="22"/>
          <w:lang w:eastAsia="en-US"/>
        </w:rPr>
        <w:t xml:space="preserve">Die Themenvorschläge für Referate oder Hausarbeiten sollen </w:t>
      </w:r>
      <w:proofErr w:type="spellStart"/>
      <w:r w:rsidRPr="003757C1">
        <w:rPr>
          <w:rFonts w:cs="Arial"/>
          <w:sz w:val="22"/>
          <w:szCs w:val="22"/>
          <w:lang w:eastAsia="en-US"/>
        </w:rPr>
        <w:t>LehrerInnen</w:t>
      </w:r>
      <w:proofErr w:type="spellEnd"/>
      <w:r w:rsidRPr="003757C1">
        <w:rPr>
          <w:rFonts w:cs="Arial"/>
          <w:sz w:val="22"/>
          <w:szCs w:val="22"/>
          <w:lang w:eastAsia="en-US"/>
        </w:rPr>
        <w:t xml:space="preserve"> Möglichkeiten aufzeigen, das Thema über den Unterricht hinaus mit den </w:t>
      </w:r>
      <w:proofErr w:type="spellStart"/>
      <w:r w:rsidRPr="003757C1">
        <w:rPr>
          <w:rFonts w:cs="Arial"/>
          <w:sz w:val="22"/>
          <w:szCs w:val="22"/>
          <w:lang w:eastAsia="en-US"/>
        </w:rPr>
        <w:t>SchülerInnen</w:t>
      </w:r>
      <w:proofErr w:type="spellEnd"/>
      <w:r w:rsidRPr="003757C1">
        <w:rPr>
          <w:rFonts w:cs="Arial"/>
          <w:sz w:val="22"/>
          <w:szCs w:val="22"/>
          <w:lang w:eastAsia="en-US"/>
        </w:rPr>
        <w:t xml:space="preserve"> zu bearbeiten. Entsprechende Hinweise zur Sekundärliteratur erleichtern die Recherche und geben erste Anhaltspunkte für den Arbeitseinstieg.</w:t>
      </w:r>
    </w:p>
    <w:p w:rsidR="001C3BE3" w:rsidRPr="00D72FC9" w:rsidRDefault="001C3BE3" w:rsidP="00BD4B97">
      <w:pPr>
        <w:pStyle w:val="1Standardflietext"/>
        <w:jc w:val="both"/>
        <w:rPr>
          <w:rFonts w:cs="Arial"/>
          <w:i/>
          <w:sz w:val="22"/>
          <w:szCs w:val="22"/>
          <w:lang w:eastAsia="en-US"/>
        </w:rPr>
      </w:pPr>
    </w:p>
    <w:p w:rsidR="004D0F78" w:rsidRPr="00D72FC9" w:rsidRDefault="004D0F78" w:rsidP="00BD4B97">
      <w:pPr>
        <w:pStyle w:val="1Standardflietext"/>
        <w:jc w:val="both"/>
        <w:rPr>
          <w:rFonts w:cs="Arial"/>
          <w:i/>
          <w:sz w:val="22"/>
          <w:szCs w:val="22"/>
        </w:rPr>
      </w:pPr>
      <w:r w:rsidRPr="00D72FC9">
        <w:rPr>
          <w:rFonts w:cs="Arial"/>
          <w:i/>
          <w:sz w:val="22"/>
          <w:szCs w:val="22"/>
        </w:rPr>
        <w:t>Von der Großmacht zum Opfer anderer Großmächte. Gründe für Polens Niedergang im 18. Jahrhundert.</w:t>
      </w:r>
    </w:p>
    <w:p w:rsidR="004D0F78" w:rsidRPr="00D72FC9" w:rsidRDefault="004D0F78" w:rsidP="00BD4B97">
      <w:pPr>
        <w:pStyle w:val="1Standardflietext"/>
        <w:jc w:val="both"/>
        <w:rPr>
          <w:rFonts w:cs="Arial"/>
          <w:i/>
          <w:sz w:val="22"/>
          <w:szCs w:val="22"/>
        </w:rPr>
      </w:pPr>
    </w:p>
    <w:p w:rsidR="004D0F78" w:rsidRPr="00D72FC9" w:rsidRDefault="004D0F78" w:rsidP="00BD4B97">
      <w:pPr>
        <w:pStyle w:val="1Standardflietext"/>
        <w:jc w:val="both"/>
        <w:rPr>
          <w:rFonts w:cs="Arial"/>
          <w:i/>
          <w:sz w:val="22"/>
          <w:szCs w:val="22"/>
        </w:rPr>
      </w:pPr>
      <w:r w:rsidRPr="00D72FC9">
        <w:rPr>
          <w:rFonts w:cs="Arial"/>
          <w:i/>
          <w:sz w:val="22"/>
          <w:szCs w:val="22"/>
        </w:rPr>
        <w:t>Die Teilung Polens als Beispiel europäischer Großmachtpolitik Ende des 18. Jahrhunderts.</w:t>
      </w:r>
    </w:p>
    <w:p w:rsidR="004D0F78" w:rsidRPr="00D72FC9" w:rsidRDefault="004D0F78" w:rsidP="00BD4B97">
      <w:pPr>
        <w:pStyle w:val="1Standardflietext"/>
        <w:jc w:val="both"/>
        <w:rPr>
          <w:rFonts w:cs="Arial"/>
          <w:i/>
          <w:sz w:val="22"/>
          <w:szCs w:val="22"/>
        </w:rPr>
      </w:pPr>
    </w:p>
    <w:p w:rsidR="004D0F78" w:rsidRPr="00D72FC9" w:rsidRDefault="004D0F78" w:rsidP="00BD4B97">
      <w:pPr>
        <w:pStyle w:val="1Standardflietext"/>
        <w:jc w:val="both"/>
        <w:rPr>
          <w:rFonts w:cs="Arial"/>
          <w:i/>
          <w:sz w:val="22"/>
          <w:szCs w:val="22"/>
        </w:rPr>
      </w:pPr>
      <w:r w:rsidRPr="00D72FC9">
        <w:rPr>
          <w:rFonts w:cs="Arial"/>
          <w:i/>
          <w:sz w:val="22"/>
          <w:szCs w:val="22"/>
        </w:rPr>
        <w:t>Polen zwischen Deutschland und Russland. Ein Land zwischen den Fronten, aufgezeigt an ausgewählten Beispielen unterschiedlicher historischer Zeiträume.</w:t>
      </w:r>
    </w:p>
    <w:p w:rsidR="004D0F78" w:rsidRPr="00D72FC9" w:rsidRDefault="004D0F78" w:rsidP="00BD4B97">
      <w:pPr>
        <w:pStyle w:val="1Standardflietext"/>
        <w:jc w:val="both"/>
        <w:rPr>
          <w:rFonts w:cs="Arial"/>
          <w:sz w:val="22"/>
          <w:szCs w:val="22"/>
        </w:rPr>
      </w:pPr>
    </w:p>
    <w:p w:rsidR="004D0F78" w:rsidRPr="00D72FC9" w:rsidRDefault="004D0F78" w:rsidP="00BD4B97">
      <w:pPr>
        <w:pStyle w:val="0berschrift3"/>
        <w:jc w:val="both"/>
        <w:rPr>
          <w:rFonts w:cs="Arial"/>
          <w:sz w:val="22"/>
          <w:szCs w:val="22"/>
        </w:rPr>
      </w:pPr>
      <w:r w:rsidRPr="00D72FC9">
        <w:rPr>
          <w:rFonts w:cs="Arial"/>
          <w:sz w:val="22"/>
          <w:szCs w:val="22"/>
        </w:rPr>
        <w:t>Das Thema im Internet</w:t>
      </w:r>
    </w:p>
    <w:p w:rsidR="00C60D24" w:rsidRPr="00D72FC9" w:rsidRDefault="00C60D24" w:rsidP="00BD4B97">
      <w:pPr>
        <w:spacing w:after="0" w:line="240" w:lineRule="auto"/>
        <w:jc w:val="both"/>
        <w:rPr>
          <w:rFonts w:cs="Arial"/>
          <w:sz w:val="22"/>
          <w:szCs w:val="22"/>
        </w:rPr>
      </w:pPr>
      <w:r w:rsidRPr="00D72FC9">
        <w:rPr>
          <w:rFonts w:cs="Arial"/>
          <w:sz w:val="22"/>
          <w:szCs w:val="22"/>
        </w:rPr>
        <w:t>Historischer Überblick über die polnisch-litauische Adelsrepublik</w:t>
      </w:r>
    </w:p>
    <w:p w:rsidR="00C60D24" w:rsidRPr="00D72FC9" w:rsidRDefault="004B0C4E" w:rsidP="00BD4B97">
      <w:pPr>
        <w:spacing w:after="0" w:line="240" w:lineRule="auto"/>
        <w:jc w:val="both"/>
        <w:rPr>
          <w:rFonts w:cs="Arial"/>
          <w:sz w:val="22"/>
          <w:szCs w:val="22"/>
        </w:rPr>
      </w:pPr>
      <w:hyperlink r:id="rId10" w:history="1">
        <w:r w:rsidR="005C34B3" w:rsidRPr="00D72FC9">
          <w:rPr>
            <w:rStyle w:val="Hyperlink"/>
            <w:rFonts w:cs="Arial"/>
            <w:sz w:val="22"/>
            <w:szCs w:val="22"/>
          </w:rPr>
          <w:t>http://www.deutscheundpolen.de/themen/thema_jsp/key=polnisch_litauische_union.html</w:t>
        </w:r>
      </w:hyperlink>
      <w:r w:rsidR="005C34B3" w:rsidRPr="00D72FC9">
        <w:rPr>
          <w:rFonts w:cs="Arial"/>
          <w:sz w:val="22"/>
          <w:szCs w:val="22"/>
        </w:rPr>
        <w:t xml:space="preserve"> </w:t>
      </w:r>
    </w:p>
    <w:p w:rsidR="00C60D24" w:rsidRPr="00D72FC9" w:rsidRDefault="00C60D24" w:rsidP="00BD4B97">
      <w:pPr>
        <w:pStyle w:val="1Standardflietext"/>
        <w:jc w:val="both"/>
        <w:rPr>
          <w:rFonts w:cs="Arial"/>
          <w:sz w:val="22"/>
          <w:szCs w:val="22"/>
        </w:rPr>
      </w:pPr>
    </w:p>
    <w:p w:rsidR="00C60D24" w:rsidRPr="00D72FC9" w:rsidRDefault="00C60D24" w:rsidP="00BD4B97">
      <w:pPr>
        <w:pStyle w:val="1Standardflietext"/>
        <w:jc w:val="both"/>
        <w:rPr>
          <w:rFonts w:cs="Arial"/>
          <w:sz w:val="22"/>
          <w:szCs w:val="22"/>
        </w:rPr>
      </w:pPr>
      <w:r w:rsidRPr="00D72FC9">
        <w:rPr>
          <w:rFonts w:cs="Arial"/>
          <w:sz w:val="22"/>
          <w:szCs w:val="22"/>
        </w:rPr>
        <w:t>Guter historischer Überblick über die drei Teilungen Polens mit Bildern, Karikaturen und Quellenmaterial</w:t>
      </w:r>
    </w:p>
    <w:p w:rsidR="004D0F78" w:rsidRPr="00D72FC9" w:rsidRDefault="004B0C4E" w:rsidP="00BD4B97">
      <w:pPr>
        <w:pStyle w:val="1Standardflietext"/>
        <w:jc w:val="both"/>
        <w:rPr>
          <w:rFonts w:cs="Arial"/>
          <w:sz w:val="22"/>
          <w:szCs w:val="22"/>
        </w:rPr>
      </w:pPr>
      <w:hyperlink r:id="rId11" w:history="1">
        <w:r w:rsidR="0021238E" w:rsidRPr="00596E61">
          <w:rPr>
            <w:rStyle w:val="Hyperlink"/>
            <w:rFonts w:cs="Arial"/>
            <w:sz w:val="22"/>
            <w:szCs w:val="22"/>
          </w:rPr>
          <w:t>http://www.deutscheundpolen.de/ereignisse/ereignis_jsp/key=teilung_erste_1772.html</w:t>
        </w:r>
      </w:hyperlink>
    </w:p>
    <w:p w:rsidR="004D0F78" w:rsidRPr="00D72FC9" w:rsidRDefault="004D0F78" w:rsidP="00BD4B97">
      <w:pPr>
        <w:pStyle w:val="1Standardflietext"/>
        <w:jc w:val="both"/>
        <w:rPr>
          <w:rFonts w:cs="Arial"/>
          <w:sz w:val="22"/>
          <w:szCs w:val="22"/>
        </w:rPr>
      </w:pPr>
    </w:p>
    <w:p w:rsidR="00C60D24" w:rsidRPr="00D72FC9" w:rsidRDefault="00C60D24" w:rsidP="00BD4B97">
      <w:pPr>
        <w:pStyle w:val="1Standardflietext"/>
        <w:jc w:val="both"/>
        <w:rPr>
          <w:rFonts w:cs="Arial"/>
          <w:sz w:val="22"/>
          <w:szCs w:val="22"/>
        </w:rPr>
      </w:pPr>
      <w:r w:rsidRPr="00D72FC9">
        <w:rPr>
          <w:rFonts w:cs="Arial"/>
          <w:sz w:val="22"/>
          <w:szCs w:val="22"/>
        </w:rPr>
        <w:t>Aufnahme der polnischen Nationalhymne</w:t>
      </w:r>
    </w:p>
    <w:p w:rsidR="004D0F78" w:rsidRPr="00D72FC9" w:rsidRDefault="004B0C4E" w:rsidP="00BD4B97">
      <w:pPr>
        <w:pStyle w:val="0berschrift3"/>
        <w:jc w:val="both"/>
        <w:rPr>
          <w:rFonts w:cs="Arial"/>
          <w:b w:val="0"/>
          <w:sz w:val="22"/>
          <w:szCs w:val="22"/>
        </w:rPr>
      </w:pPr>
      <w:hyperlink r:id="rId12" w:history="1">
        <w:r w:rsidR="004D0F78" w:rsidRPr="00D72FC9">
          <w:rPr>
            <w:rStyle w:val="Hyperlink"/>
            <w:rFonts w:cs="Arial"/>
            <w:b w:val="0"/>
            <w:sz w:val="22"/>
            <w:szCs w:val="22"/>
          </w:rPr>
          <w:t>http://www.youtube.com/watch?v=VV4ku_ouSN0</w:t>
        </w:r>
      </w:hyperlink>
    </w:p>
    <w:p w:rsidR="00AA0139" w:rsidRPr="00D72FC9" w:rsidRDefault="00AA0139" w:rsidP="00BD4B97">
      <w:pPr>
        <w:pStyle w:val="1Standardflietext"/>
        <w:jc w:val="both"/>
        <w:rPr>
          <w:rFonts w:cs="Arial"/>
          <w:sz w:val="22"/>
          <w:szCs w:val="22"/>
        </w:rPr>
      </w:pPr>
    </w:p>
    <w:p w:rsidR="00AA0139" w:rsidRPr="00D72FC9" w:rsidRDefault="00AA0139" w:rsidP="00BD4B97">
      <w:pPr>
        <w:pStyle w:val="1Standardflietext"/>
        <w:jc w:val="both"/>
        <w:rPr>
          <w:rFonts w:cs="Arial"/>
          <w:sz w:val="22"/>
          <w:szCs w:val="22"/>
        </w:rPr>
      </w:pPr>
      <w:proofErr w:type="gramStart"/>
      <w:r w:rsidRPr="00D72FC9">
        <w:rPr>
          <w:rFonts w:cs="Arial"/>
          <w:sz w:val="22"/>
          <w:szCs w:val="22"/>
          <w:lang w:val="en-US"/>
        </w:rPr>
        <w:t>A Commonwealth of Diverse Cultures.</w:t>
      </w:r>
      <w:proofErr w:type="gramEnd"/>
      <w:r w:rsidRPr="00D72FC9">
        <w:rPr>
          <w:rFonts w:cs="Arial"/>
          <w:sz w:val="22"/>
          <w:szCs w:val="22"/>
          <w:lang w:val="en-US"/>
        </w:rPr>
        <w:t xml:space="preserve"> </w:t>
      </w:r>
      <w:proofErr w:type="spellStart"/>
      <w:r w:rsidRPr="00D72FC9">
        <w:rPr>
          <w:rFonts w:cs="Arial"/>
          <w:sz w:val="22"/>
          <w:szCs w:val="22"/>
        </w:rPr>
        <w:t>Poland´s</w:t>
      </w:r>
      <w:proofErr w:type="spellEnd"/>
      <w:r w:rsidRPr="00D72FC9">
        <w:rPr>
          <w:rFonts w:cs="Arial"/>
          <w:sz w:val="22"/>
          <w:szCs w:val="22"/>
        </w:rPr>
        <w:t xml:space="preserve"> </w:t>
      </w:r>
      <w:proofErr w:type="spellStart"/>
      <w:r w:rsidRPr="00D72FC9">
        <w:rPr>
          <w:rFonts w:cs="Arial"/>
          <w:sz w:val="22"/>
          <w:szCs w:val="22"/>
        </w:rPr>
        <w:t>Heritage</w:t>
      </w:r>
      <w:proofErr w:type="spellEnd"/>
    </w:p>
    <w:p w:rsidR="004D0F78" w:rsidRPr="00D72FC9" w:rsidRDefault="004B0C4E" w:rsidP="00BD4B97">
      <w:pPr>
        <w:pStyle w:val="1Standardflietext"/>
        <w:jc w:val="both"/>
        <w:rPr>
          <w:rFonts w:cs="Arial"/>
          <w:sz w:val="22"/>
          <w:szCs w:val="22"/>
        </w:rPr>
      </w:pPr>
      <w:hyperlink r:id="rId13" w:history="1">
        <w:r w:rsidR="00AA0139" w:rsidRPr="00596E61">
          <w:rPr>
            <w:rStyle w:val="Hyperlink"/>
            <w:rFonts w:cs="Arial"/>
            <w:sz w:val="22"/>
            <w:szCs w:val="22"/>
          </w:rPr>
          <w:t>www.commonwealth.pl</w:t>
        </w:r>
      </w:hyperlink>
    </w:p>
    <w:p w:rsidR="0021238E" w:rsidRPr="00D72FC9" w:rsidRDefault="0021238E" w:rsidP="00BD4B97">
      <w:pPr>
        <w:pStyle w:val="1Standardflietext"/>
        <w:jc w:val="both"/>
        <w:rPr>
          <w:rFonts w:cs="Arial"/>
          <w:sz w:val="22"/>
          <w:szCs w:val="22"/>
        </w:rPr>
      </w:pPr>
    </w:p>
    <w:p w:rsidR="004D0F78" w:rsidRPr="00D72FC9" w:rsidRDefault="004D0F78" w:rsidP="00BD4B97">
      <w:pPr>
        <w:pStyle w:val="0berschrift3"/>
        <w:jc w:val="both"/>
        <w:rPr>
          <w:rFonts w:cs="Arial"/>
          <w:sz w:val="22"/>
          <w:szCs w:val="22"/>
        </w:rPr>
      </w:pPr>
      <w:r w:rsidRPr="00D72FC9">
        <w:rPr>
          <w:rFonts w:cs="Arial"/>
          <w:sz w:val="22"/>
          <w:szCs w:val="22"/>
        </w:rPr>
        <w:t>Weiterführende Literatur</w:t>
      </w:r>
    </w:p>
    <w:p w:rsidR="004D0F78" w:rsidRPr="00D72FC9" w:rsidRDefault="0021238E" w:rsidP="00BD4B97">
      <w:pPr>
        <w:pStyle w:val="1Standardflietext"/>
        <w:jc w:val="both"/>
        <w:rPr>
          <w:rFonts w:cs="Arial"/>
          <w:sz w:val="22"/>
          <w:szCs w:val="22"/>
        </w:rPr>
      </w:pPr>
      <w:proofErr w:type="spellStart"/>
      <w:r w:rsidRPr="00D72FC9">
        <w:rPr>
          <w:rFonts w:cs="Arial"/>
          <w:sz w:val="22"/>
          <w:szCs w:val="22"/>
        </w:rPr>
        <w:t>Barudio</w:t>
      </w:r>
      <w:proofErr w:type="spellEnd"/>
      <w:r w:rsidRPr="00D72FC9">
        <w:rPr>
          <w:rFonts w:cs="Arial"/>
          <w:sz w:val="22"/>
          <w:szCs w:val="22"/>
        </w:rPr>
        <w:t>, Günter: Die „Königliche Republik“</w:t>
      </w:r>
      <w:r w:rsidR="004D0F78" w:rsidRPr="00D72FC9">
        <w:rPr>
          <w:rFonts w:cs="Arial"/>
          <w:sz w:val="22"/>
          <w:szCs w:val="22"/>
        </w:rPr>
        <w:t xml:space="preserve"> und der Absolutismus. In: Deutsche und Polen. Geschichte – Kultur – Politik. Hrsg. v. Andreas </w:t>
      </w:r>
      <w:proofErr w:type="spellStart"/>
      <w:r w:rsidR="004D0F78" w:rsidRPr="00D72FC9">
        <w:rPr>
          <w:rFonts w:cs="Arial"/>
          <w:sz w:val="22"/>
          <w:szCs w:val="22"/>
        </w:rPr>
        <w:t>Lawaty</w:t>
      </w:r>
      <w:proofErr w:type="spellEnd"/>
      <w:r w:rsidR="004D0F78" w:rsidRPr="00D72FC9">
        <w:rPr>
          <w:rFonts w:cs="Arial"/>
          <w:sz w:val="22"/>
          <w:szCs w:val="22"/>
        </w:rPr>
        <w:t xml:space="preserve"> und Hubert </w:t>
      </w:r>
      <w:proofErr w:type="spellStart"/>
      <w:r w:rsidR="004D0F78" w:rsidRPr="00D72FC9">
        <w:rPr>
          <w:rFonts w:cs="Arial"/>
          <w:sz w:val="22"/>
          <w:szCs w:val="22"/>
        </w:rPr>
        <w:t>Orłowski</w:t>
      </w:r>
      <w:proofErr w:type="spellEnd"/>
      <w:r w:rsidR="004D0F78" w:rsidRPr="00D72FC9">
        <w:rPr>
          <w:rFonts w:cs="Arial"/>
          <w:sz w:val="22"/>
          <w:szCs w:val="22"/>
        </w:rPr>
        <w:t>. München: Beck 2003</w:t>
      </w:r>
      <w:r w:rsidR="00BD4B97" w:rsidRPr="00D72FC9">
        <w:rPr>
          <w:rFonts w:cs="Arial"/>
          <w:sz w:val="22"/>
          <w:szCs w:val="22"/>
        </w:rPr>
        <w:t>,</w:t>
      </w:r>
      <w:r w:rsidR="004D0F78" w:rsidRPr="00D72FC9">
        <w:rPr>
          <w:rFonts w:cs="Arial"/>
          <w:sz w:val="22"/>
          <w:szCs w:val="22"/>
        </w:rPr>
        <w:t xml:space="preserve"> S. 43</w:t>
      </w:r>
      <w:r w:rsidR="00BD4B97" w:rsidRPr="00D72FC9">
        <w:rPr>
          <w:rFonts w:cs="Arial"/>
          <w:sz w:val="22"/>
          <w:szCs w:val="22"/>
        </w:rPr>
        <w:t>-</w:t>
      </w:r>
      <w:r w:rsidR="004D0F78" w:rsidRPr="00D72FC9">
        <w:rPr>
          <w:rFonts w:cs="Arial"/>
          <w:sz w:val="22"/>
          <w:szCs w:val="22"/>
        </w:rPr>
        <w:t>47.</w:t>
      </w:r>
    </w:p>
    <w:p w:rsidR="004D0F78" w:rsidRPr="00D72FC9" w:rsidRDefault="004D0F78" w:rsidP="00BD4B97">
      <w:pPr>
        <w:pStyle w:val="1Standardflietext"/>
        <w:jc w:val="both"/>
        <w:rPr>
          <w:rFonts w:cs="Arial"/>
          <w:sz w:val="22"/>
          <w:szCs w:val="22"/>
        </w:rPr>
      </w:pPr>
    </w:p>
    <w:p w:rsidR="00003426" w:rsidRPr="00D72FC9" w:rsidRDefault="00003426" w:rsidP="00003426">
      <w:pPr>
        <w:pStyle w:val="1Standardflietext"/>
        <w:jc w:val="both"/>
        <w:rPr>
          <w:rFonts w:cs="Arial"/>
          <w:sz w:val="22"/>
          <w:szCs w:val="22"/>
        </w:rPr>
      </w:pPr>
      <w:r w:rsidRPr="00D72FC9">
        <w:rPr>
          <w:rFonts w:cs="Arial"/>
          <w:sz w:val="22"/>
          <w:szCs w:val="22"/>
        </w:rPr>
        <w:t>Escher, Felix; Vietig, Jürgen: „Noch ist Polen nicht verloren“. Das Trauma der Teilungen. In: Dies.: Deutsche und Polen. Eine Chronik. Begleitbuch zur vierteiligen ARD-Fernsehreihe „Deutsche und Polen“. Berlin: Nicolai 2002, S. 71-115.</w:t>
      </w:r>
    </w:p>
    <w:p w:rsidR="00003426" w:rsidRPr="00D72FC9" w:rsidRDefault="00003426" w:rsidP="00BD4B97">
      <w:pPr>
        <w:pStyle w:val="1Standardflietext"/>
        <w:jc w:val="both"/>
        <w:rPr>
          <w:rFonts w:cs="Arial"/>
          <w:sz w:val="22"/>
          <w:szCs w:val="22"/>
        </w:rPr>
      </w:pPr>
    </w:p>
    <w:p w:rsidR="004D0F78" w:rsidRPr="00D72FC9" w:rsidRDefault="004D0F78" w:rsidP="00BD4B97">
      <w:pPr>
        <w:pStyle w:val="1Standardflietext"/>
        <w:jc w:val="both"/>
        <w:rPr>
          <w:rFonts w:cs="Arial"/>
          <w:sz w:val="22"/>
          <w:szCs w:val="22"/>
        </w:rPr>
      </w:pPr>
      <w:proofErr w:type="spellStart"/>
      <w:r w:rsidRPr="00D72FC9">
        <w:rPr>
          <w:rFonts w:cs="Arial"/>
          <w:sz w:val="22"/>
          <w:szCs w:val="22"/>
        </w:rPr>
        <w:t>Jaworski</w:t>
      </w:r>
      <w:proofErr w:type="spellEnd"/>
      <w:r w:rsidRPr="00D72FC9">
        <w:rPr>
          <w:rFonts w:cs="Arial"/>
          <w:sz w:val="22"/>
          <w:szCs w:val="22"/>
        </w:rPr>
        <w:t>, Rudolf (Hrsg.): Nationale und internationale Aspekte der polnischen Verfassung vom 3. Mai 1791. Beitr</w:t>
      </w:r>
      <w:r w:rsidR="005C34B3" w:rsidRPr="00D72FC9">
        <w:rPr>
          <w:rFonts w:cs="Arial"/>
          <w:sz w:val="22"/>
          <w:szCs w:val="22"/>
        </w:rPr>
        <w:t>ä</w:t>
      </w:r>
      <w:r w:rsidRPr="00D72FC9">
        <w:rPr>
          <w:rFonts w:cs="Arial"/>
          <w:sz w:val="22"/>
          <w:szCs w:val="22"/>
        </w:rPr>
        <w:t>ge zum 3. deutsch-polnischen Historikerkolloquium im Rahmen des Kooperationsvertrages zwischen der Adam-Mickiewicz-Universität Poznań und der Christian-Albrechts-Uni</w:t>
      </w:r>
      <w:r w:rsidR="0021238E" w:rsidRPr="00D72FC9">
        <w:rPr>
          <w:rFonts w:cs="Arial"/>
          <w:sz w:val="22"/>
          <w:szCs w:val="22"/>
        </w:rPr>
        <w:t>versität zu Kiel (</w:t>
      </w:r>
      <w:r w:rsidR="008161C1" w:rsidRPr="00D72FC9">
        <w:rPr>
          <w:rFonts w:cs="Arial"/>
          <w:sz w:val="22"/>
          <w:szCs w:val="22"/>
        </w:rPr>
        <w:t>=</w:t>
      </w:r>
      <w:r w:rsidR="0021238E" w:rsidRPr="00D72FC9">
        <w:rPr>
          <w:rFonts w:cs="Arial"/>
          <w:sz w:val="22"/>
          <w:szCs w:val="22"/>
        </w:rPr>
        <w:t>Kieler Werkstücke. Reihe F: Beiträ</w:t>
      </w:r>
      <w:r w:rsidRPr="00D72FC9">
        <w:rPr>
          <w:rFonts w:cs="Arial"/>
          <w:sz w:val="22"/>
          <w:szCs w:val="22"/>
        </w:rPr>
        <w:t>ge zur osteuropäischen Geschichte 2). Frankfurt am Main: Lang 1993.</w:t>
      </w:r>
    </w:p>
    <w:p w:rsidR="00892F1C" w:rsidRPr="00D72FC9" w:rsidRDefault="00892F1C" w:rsidP="00BD4B97">
      <w:pPr>
        <w:pStyle w:val="1Standardflietext"/>
        <w:spacing w:after="0"/>
        <w:jc w:val="both"/>
        <w:rPr>
          <w:rFonts w:cs="Arial"/>
          <w:sz w:val="22"/>
          <w:szCs w:val="22"/>
        </w:rPr>
      </w:pPr>
    </w:p>
    <w:p w:rsidR="00892F1C" w:rsidRPr="00D72FC9" w:rsidRDefault="00892F1C" w:rsidP="00BD4B97">
      <w:pPr>
        <w:pStyle w:val="1Standardflietext"/>
        <w:spacing w:after="0"/>
        <w:jc w:val="both"/>
        <w:rPr>
          <w:rFonts w:cs="Arial"/>
          <w:sz w:val="22"/>
          <w:szCs w:val="22"/>
        </w:rPr>
      </w:pPr>
      <w:r w:rsidRPr="00D72FC9">
        <w:rPr>
          <w:rFonts w:cs="Arial"/>
          <w:sz w:val="22"/>
          <w:szCs w:val="22"/>
        </w:rPr>
        <w:t>Kneip, Matthias; Mack, Manfred: Die polnische Adelsrepublik. Vom Goldenen Zeitalter zum Niedergang einer Großmacht (1569-1795). In: Dies.: Polnische Geschichte und deutsch-polnische Beziehungen. Berlin: Cornelsen 2007</w:t>
      </w:r>
      <w:r w:rsidR="00BD4B97" w:rsidRPr="00D72FC9">
        <w:rPr>
          <w:rFonts w:cs="Arial"/>
          <w:sz w:val="22"/>
          <w:szCs w:val="22"/>
        </w:rPr>
        <w:t>,</w:t>
      </w:r>
      <w:r w:rsidRPr="00D72FC9">
        <w:rPr>
          <w:rFonts w:cs="Arial"/>
          <w:sz w:val="22"/>
          <w:szCs w:val="22"/>
        </w:rPr>
        <w:t xml:space="preserve"> S. 34</w:t>
      </w:r>
      <w:r w:rsidR="00BD4B97" w:rsidRPr="00D72FC9">
        <w:rPr>
          <w:rFonts w:cs="Arial"/>
          <w:sz w:val="22"/>
          <w:szCs w:val="22"/>
        </w:rPr>
        <w:t>-</w:t>
      </w:r>
      <w:r w:rsidRPr="00D72FC9">
        <w:rPr>
          <w:rFonts w:cs="Arial"/>
          <w:sz w:val="22"/>
          <w:szCs w:val="22"/>
        </w:rPr>
        <w:t xml:space="preserve">43. </w:t>
      </w:r>
    </w:p>
    <w:p w:rsidR="004D0F78" w:rsidRPr="00D72FC9" w:rsidRDefault="004D0F78" w:rsidP="00BD4B97">
      <w:pPr>
        <w:pStyle w:val="1Standardflietext"/>
        <w:jc w:val="both"/>
        <w:rPr>
          <w:rFonts w:cs="Arial"/>
          <w:sz w:val="22"/>
          <w:szCs w:val="22"/>
        </w:rPr>
      </w:pPr>
    </w:p>
    <w:p w:rsidR="004D0F78" w:rsidRPr="00D72FC9" w:rsidRDefault="004D0F78" w:rsidP="00BD4B97">
      <w:pPr>
        <w:pStyle w:val="1Standardflietext"/>
        <w:jc w:val="both"/>
        <w:rPr>
          <w:rFonts w:cs="Arial"/>
          <w:sz w:val="22"/>
          <w:szCs w:val="22"/>
        </w:rPr>
      </w:pPr>
      <w:r w:rsidRPr="00D72FC9">
        <w:rPr>
          <w:rFonts w:cs="Arial"/>
          <w:sz w:val="22"/>
          <w:szCs w:val="22"/>
        </w:rPr>
        <w:lastRenderedPageBreak/>
        <w:t xml:space="preserve">Müller, Hans-Joachim: Adelsrepublik mit </w:t>
      </w:r>
      <w:proofErr w:type="spellStart"/>
      <w:r w:rsidRPr="00D72FC9">
        <w:rPr>
          <w:rFonts w:cs="Arial"/>
          <w:sz w:val="22"/>
          <w:szCs w:val="22"/>
        </w:rPr>
        <w:t>Liberum</w:t>
      </w:r>
      <w:proofErr w:type="spellEnd"/>
      <w:r w:rsidRPr="00D72FC9">
        <w:rPr>
          <w:rFonts w:cs="Arial"/>
          <w:sz w:val="22"/>
          <w:szCs w:val="22"/>
        </w:rPr>
        <w:t xml:space="preserve"> Veto. Die politische Organisation Polen-Litauens vor den drei Teilungen (1569–1772). In: Geschic</w:t>
      </w:r>
      <w:r w:rsidR="0021238E" w:rsidRPr="00D72FC9">
        <w:rPr>
          <w:rFonts w:cs="Arial"/>
          <w:sz w:val="22"/>
          <w:szCs w:val="22"/>
        </w:rPr>
        <w:t>hte lernen. Nr. 102/2004: Polen</w:t>
      </w:r>
      <w:r w:rsidR="00BD4B97" w:rsidRPr="00D72FC9">
        <w:rPr>
          <w:rFonts w:cs="Arial"/>
          <w:sz w:val="22"/>
          <w:szCs w:val="22"/>
        </w:rPr>
        <w:t>,</w:t>
      </w:r>
      <w:r w:rsidRPr="00D72FC9">
        <w:rPr>
          <w:rFonts w:cs="Arial"/>
          <w:sz w:val="22"/>
          <w:szCs w:val="22"/>
        </w:rPr>
        <w:t xml:space="preserve"> S. 40</w:t>
      </w:r>
      <w:r w:rsidR="00BD4B97" w:rsidRPr="00D72FC9">
        <w:rPr>
          <w:rFonts w:cs="Arial"/>
          <w:sz w:val="22"/>
          <w:szCs w:val="22"/>
        </w:rPr>
        <w:t>-</w:t>
      </w:r>
      <w:r w:rsidRPr="00D72FC9">
        <w:rPr>
          <w:rFonts w:cs="Arial"/>
          <w:sz w:val="22"/>
          <w:szCs w:val="22"/>
        </w:rPr>
        <w:t>44.</w:t>
      </w:r>
    </w:p>
    <w:p w:rsidR="004D0F78" w:rsidRPr="00D72FC9" w:rsidRDefault="004D0F78" w:rsidP="00BD4B97">
      <w:pPr>
        <w:pStyle w:val="1Standardflietext"/>
        <w:jc w:val="both"/>
        <w:rPr>
          <w:rFonts w:cs="Arial"/>
          <w:sz w:val="22"/>
          <w:szCs w:val="22"/>
        </w:rPr>
      </w:pPr>
    </w:p>
    <w:p w:rsidR="004D0F78" w:rsidRPr="00D72FC9" w:rsidRDefault="004D0F78" w:rsidP="00BD4B97">
      <w:pPr>
        <w:pStyle w:val="1Standardflietext"/>
        <w:jc w:val="both"/>
        <w:rPr>
          <w:rFonts w:cs="Arial"/>
          <w:sz w:val="22"/>
          <w:szCs w:val="22"/>
        </w:rPr>
      </w:pPr>
      <w:r w:rsidRPr="00D72FC9">
        <w:rPr>
          <w:rFonts w:cs="Arial"/>
          <w:sz w:val="22"/>
          <w:szCs w:val="22"/>
        </w:rPr>
        <w:t xml:space="preserve">Müller, Michael G.: Das Ende zweier Republiken: Die Teilungen Polens und die Auflösung des alten Reiches. In: Deutsche und Polen. Geschichte – Kultur – Politik. Hrsg. von Andreas </w:t>
      </w:r>
      <w:proofErr w:type="spellStart"/>
      <w:r w:rsidRPr="00D72FC9">
        <w:rPr>
          <w:rFonts w:cs="Arial"/>
          <w:sz w:val="22"/>
          <w:szCs w:val="22"/>
        </w:rPr>
        <w:t>Lawaty</w:t>
      </w:r>
      <w:proofErr w:type="spellEnd"/>
      <w:r w:rsidRPr="00D72FC9">
        <w:rPr>
          <w:rFonts w:cs="Arial"/>
          <w:sz w:val="22"/>
          <w:szCs w:val="22"/>
        </w:rPr>
        <w:t xml:space="preserve"> und Hube</w:t>
      </w:r>
      <w:r w:rsidR="0021238E" w:rsidRPr="00D72FC9">
        <w:rPr>
          <w:rFonts w:cs="Arial"/>
          <w:sz w:val="22"/>
          <w:szCs w:val="22"/>
        </w:rPr>
        <w:t xml:space="preserve">rt </w:t>
      </w:r>
      <w:proofErr w:type="spellStart"/>
      <w:r w:rsidR="0021238E" w:rsidRPr="00D72FC9">
        <w:rPr>
          <w:rFonts w:cs="Arial"/>
          <w:sz w:val="22"/>
          <w:szCs w:val="22"/>
        </w:rPr>
        <w:t>Orłowski</w:t>
      </w:r>
      <w:proofErr w:type="spellEnd"/>
      <w:r w:rsidR="0021238E" w:rsidRPr="00D72FC9">
        <w:rPr>
          <w:rFonts w:cs="Arial"/>
          <w:sz w:val="22"/>
          <w:szCs w:val="22"/>
        </w:rPr>
        <w:t xml:space="preserve">. </w:t>
      </w:r>
      <w:proofErr w:type="spellStart"/>
      <w:r w:rsidR="0021238E" w:rsidRPr="00D72FC9">
        <w:rPr>
          <w:rFonts w:cs="Arial"/>
          <w:sz w:val="22"/>
          <w:szCs w:val="22"/>
        </w:rPr>
        <w:t>Munchen</w:t>
      </w:r>
      <w:proofErr w:type="spellEnd"/>
      <w:r w:rsidR="0021238E" w:rsidRPr="00D72FC9">
        <w:rPr>
          <w:rFonts w:cs="Arial"/>
          <w:sz w:val="22"/>
          <w:szCs w:val="22"/>
        </w:rPr>
        <w:t>: Beck 2003</w:t>
      </w:r>
      <w:r w:rsidR="00BD4B97" w:rsidRPr="00D72FC9">
        <w:rPr>
          <w:rFonts w:cs="Arial"/>
          <w:sz w:val="22"/>
          <w:szCs w:val="22"/>
        </w:rPr>
        <w:t>,</w:t>
      </w:r>
      <w:r w:rsidRPr="00D72FC9">
        <w:rPr>
          <w:rFonts w:cs="Arial"/>
          <w:sz w:val="22"/>
          <w:szCs w:val="22"/>
        </w:rPr>
        <w:t xml:space="preserve"> S. 47</w:t>
      </w:r>
      <w:r w:rsidR="00BD4B97" w:rsidRPr="00D72FC9">
        <w:rPr>
          <w:rFonts w:cs="Arial"/>
          <w:sz w:val="22"/>
          <w:szCs w:val="22"/>
        </w:rPr>
        <w:t>-</w:t>
      </w:r>
      <w:r w:rsidRPr="00D72FC9">
        <w:rPr>
          <w:rFonts w:cs="Arial"/>
          <w:sz w:val="22"/>
          <w:szCs w:val="22"/>
        </w:rPr>
        <w:t>53.</w:t>
      </w:r>
    </w:p>
    <w:p w:rsidR="004D0F78" w:rsidRPr="00D72FC9" w:rsidRDefault="004D0F78" w:rsidP="00BD4B97">
      <w:pPr>
        <w:pStyle w:val="1Standardflietext"/>
        <w:jc w:val="both"/>
        <w:rPr>
          <w:rFonts w:cs="Arial"/>
          <w:sz w:val="22"/>
          <w:szCs w:val="22"/>
        </w:rPr>
      </w:pPr>
    </w:p>
    <w:p w:rsidR="004D0F78" w:rsidRPr="00D72FC9" w:rsidRDefault="004D0F78" w:rsidP="00BD4B97">
      <w:pPr>
        <w:pStyle w:val="1Standardflietext"/>
        <w:jc w:val="both"/>
        <w:rPr>
          <w:rFonts w:cs="Arial"/>
          <w:sz w:val="22"/>
          <w:szCs w:val="22"/>
        </w:rPr>
      </w:pPr>
      <w:proofErr w:type="spellStart"/>
      <w:r w:rsidRPr="00D72FC9">
        <w:rPr>
          <w:rFonts w:cs="Arial"/>
          <w:sz w:val="22"/>
          <w:szCs w:val="22"/>
        </w:rPr>
        <w:t>Tazbir</w:t>
      </w:r>
      <w:proofErr w:type="spellEnd"/>
      <w:r w:rsidRPr="00D72FC9">
        <w:rPr>
          <w:rFonts w:cs="Arial"/>
          <w:sz w:val="22"/>
          <w:szCs w:val="22"/>
        </w:rPr>
        <w:t>, Janusz: Geschichte der polnischen Toleranz. Warszawa: Interpress 1977.</w:t>
      </w:r>
    </w:p>
    <w:p w:rsidR="005C34B3" w:rsidRPr="00D72FC9" w:rsidRDefault="005C34B3" w:rsidP="00BD4B97">
      <w:pPr>
        <w:pStyle w:val="1Standardflietext"/>
        <w:jc w:val="both"/>
        <w:rPr>
          <w:rFonts w:cs="Arial"/>
          <w:sz w:val="22"/>
          <w:szCs w:val="22"/>
        </w:rPr>
      </w:pPr>
    </w:p>
    <w:p w:rsidR="004D0F78" w:rsidRPr="00D72FC9" w:rsidRDefault="004D0F78" w:rsidP="00090646">
      <w:pPr>
        <w:pStyle w:val="1Standardflietext"/>
        <w:jc w:val="both"/>
        <w:rPr>
          <w:rFonts w:cs="Arial"/>
          <w:sz w:val="22"/>
          <w:szCs w:val="22"/>
        </w:rPr>
      </w:pPr>
      <w:r w:rsidRPr="00D72FC9">
        <w:rPr>
          <w:rFonts w:cs="Arial"/>
          <w:sz w:val="22"/>
          <w:szCs w:val="22"/>
        </w:rPr>
        <w:t>Vom Großreich zum Spielball. Polen vom 14. bis 18. Jahrhundert. In: Geschichte mit P</w:t>
      </w:r>
      <w:r w:rsidR="00BD4B97" w:rsidRPr="00D72FC9">
        <w:rPr>
          <w:rFonts w:cs="Arial"/>
          <w:sz w:val="22"/>
          <w:szCs w:val="22"/>
        </w:rPr>
        <w:t>fiff 5/1986,</w:t>
      </w:r>
      <w:r w:rsidRPr="00D72FC9">
        <w:rPr>
          <w:rFonts w:cs="Arial"/>
          <w:sz w:val="22"/>
          <w:szCs w:val="22"/>
        </w:rPr>
        <w:t xml:space="preserve"> S. 11</w:t>
      </w:r>
      <w:r w:rsidR="00BD4B97" w:rsidRPr="00D72FC9">
        <w:rPr>
          <w:rFonts w:cs="Arial"/>
          <w:sz w:val="22"/>
          <w:szCs w:val="22"/>
        </w:rPr>
        <w:t>-</w:t>
      </w:r>
      <w:r w:rsidRPr="00D72FC9">
        <w:rPr>
          <w:rFonts w:cs="Arial"/>
          <w:sz w:val="22"/>
          <w:szCs w:val="22"/>
        </w:rPr>
        <w:t>14.</w:t>
      </w:r>
    </w:p>
    <w:p w:rsidR="008161C1" w:rsidRPr="00D72FC9" w:rsidRDefault="00AC6971" w:rsidP="004D0F78">
      <w:pPr>
        <w:autoSpaceDE w:val="0"/>
        <w:autoSpaceDN w:val="0"/>
        <w:adjustRightInd w:val="0"/>
        <w:spacing w:after="0" w:line="240" w:lineRule="auto"/>
        <w:rPr>
          <w:rFonts w:eastAsia="SabonCECV" w:cs="Arial"/>
          <w:sz w:val="24"/>
        </w:rPr>
      </w:pPr>
      <w:r>
        <w:rPr>
          <w:rFonts w:eastAsia="SabonCECV" w:cs="Arial"/>
          <w:sz w:val="24"/>
        </w:rPr>
        <w:br/>
      </w:r>
    </w:p>
    <w:sectPr w:rsidR="008161C1" w:rsidRPr="00D72FC9" w:rsidSect="0003613B">
      <w:headerReference w:type="even" r:id="rId14"/>
      <w:headerReference w:type="default" r:id="rId15"/>
      <w:footerReference w:type="even" r:id="rId16"/>
      <w:footerReference w:type="default" r:id="rId17"/>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4E" w:rsidRDefault="004B0C4E">
      <w:r>
        <w:separator/>
      </w:r>
    </w:p>
    <w:p w:rsidR="004B0C4E" w:rsidRDefault="004B0C4E"/>
    <w:p w:rsidR="004B0C4E" w:rsidRDefault="004B0C4E"/>
    <w:p w:rsidR="004B0C4E" w:rsidRDefault="004B0C4E"/>
    <w:p w:rsidR="004B0C4E" w:rsidRDefault="004B0C4E"/>
    <w:p w:rsidR="004B0C4E" w:rsidRDefault="004B0C4E"/>
    <w:p w:rsidR="004B0C4E" w:rsidRDefault="004B0C4E"/>
    <w:p w:rsidR="004B0C4E" w:rsidRDefault="004B0C4E"/>
  </w:endnote>
  <w:endnote w:type="continuationSeparator" w:id="0">
    <w:p w:rsidR="004B0C4E" w:rsidRDefault="004B0C4E">
      <w:r>
        <w:continuationSeparator/>
      </w:r>
    </w:p>
    <w:p w:rsidR="004B0C4E" w:rsidRDefault="004B0C4E"/>
    <w:p w:rsidR="004B0C4E" w:rsidRDefault="004B0C4E"/>
    <w:p w:rsidR="004B0C4E" w:rsidRDefault="004B0C4E"/>
    <w:p w:rsidR="004B0C4E" w:rsidRDefault="004B0C4E"/>
    <w:p w:rsidR="004B0C4E" w:rsidRDefault="004B0C4E"/>
    <w:p w:rsidR="004B0C4E" w:rsidRDefault="004B0C4E"/>
    <w:p w:rsidR="004B0C4E" w:rsidRDefault="004B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rsidTr="00226FD6">
                  <w:trPr>
                    <w:trHeight w:val="132"/>
                  </w:trPr>
                  <w:tc>
                    <w:tcPr>
                      <w:tcW w:w="1919" w:type="dxa"/>
                    </w:tcPr>
                    <w:p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7C98CDC8" wp14:editId="0D1B70E3">
                            <wp:extent cx="1238250" cy="533400"/>
                            <wp:effectExtent l="0" t="0" r="0" b="0"/>
                            <wp:docPr id="14" name="Grafik 14"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310D8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310D85">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br/>
                      </w:r>
                    </w:p>
                  </w:tc>
                </w:tr>
              </w:tbl>
              <w:p w:rsidR="00C7502F" w:rsidRPr="00D442D6" w:rsidRDefault="00C7502F" w:rsidP="00226FD6">
                <w:pPr>
                  <w:spacing w:after="0"/>
                  <w:rPr>
                    <w:rFonts w:ascii="Times New Roman" w:hAnsi="Times New Roman"/>
                    <w:sz w:val="16"/>
                    <w:szCs w:val="16"/>
                  </w:rPr>
                </w:pPr>
              </w:p>
            </w:tc>
            <w:tc>
              <w:tcPr>
                <w:tcW w:w="4519" w:type="dxa"/>
              </w:tcPr>
              <w:p w:rsidR="00C7502F" w:rsidRPr="00D442D6" w:rsidRDefault="00C7502F" w:rsidP="00226FD6">
                <w:pPr>
                  <w:pStyle w:val="RahmenFuzeile"/>
                  <w:jc w:val="center"/>
                  <w:rPr>
                    <w:rFonts w:ascii="Times New Roman" w:hAnsi="Times New Roman"/>
                    <w:szCs w:val="16"/>
                  </w:rPr>
                </w:pPr>
              </w:p>
            </w:tc>
            <w:tc>
              <w:tcPr>
                <w:tcW w:w="2861" w:type="dxa"/>
              </w:tcPr>
              <w:p w:rsidR="00C7502F" w:rsidRPr="00D442D6" w:rsidRDefault="00C7502F" w:rsidP="00226FD6">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4E" w:rsidRDefault="004B0C4E">
      <w:r>
        <w:separator/>
      </w:r>
    </w:p>
    <w:p w:rsidR="004B0C4E" w:rsidRDefault="004B0C4E"/>
    <w:p w:rsidR="004B0C4E" w:rsidRDefault="004B0C4E"/>
    <w:p w:rsidR="004B0C4E" w:rsidRDefault="004B0C4E"/>
    <w:p w:rsidR="004B0C4E" w:rsidRDefault="004B0C4E"/>
    <w:p w:rsidR="004B0C4E" w:rsidRDefault="004B0C4E"/>
    <w:p w:rsidR="004B0C4E" w:rsidRDefault="004B0C4E"/>
    <w:p w:rsidR="004B0C4E" w:rsidRDefault="004B0C4E"/>
  </w:footnote>
  <w:footnote w:type="continuationSeparator" w:id="0">
    <w:p w:rsidR="004B0C4E" w:rsidRDefault="004B0C4E">
      <w:r>
        <w:continuationSeparator/>
      </w:r>
    </w:p>
    <w:p w:rsidR="004B0C4E" w:rsidRDefault="004B0C4E"/>
    <w:p w:rsidR="004B0C4E" w:rsidRDefault="004B0C4E"/>
    <w:p w:rsidR="004B0C4E" w:rsidRDefault="004B0C4E"/>
    <w:p w:rsidR="004B0C4E" w:rsidRDefault="004B0C4E"/>
    <w:p w:rsidR="004B0C4E" w:rsidRDefault="004B0C4E"/>
    <w:p w:rsidR="004B0C4E" w:rsidRDefault="004B0C4E"/>
    <w:p w:rsidR="004B0C4E" w:rsidRDefault="004B0C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845151" w:rsidP="001C3BE3">
          <w:pPr>
            <w:pStyle w:val="0berschrift4"/>
          </w:pPr>
          <w:r>
            <w:t>Die polnische Adelsrepublik</w:t>
          </w:r>
          <w:r w:rsidR="001C3BE3">
            <w:t xml:space="preserve"> – </w:t>
          </w:r>
          <w:r>
            <w:t xml:space="preserve"> V</w:t>
          </w:r>
          <w:r w:rsidR="004D0F78" w:rsidRPr="004D0F78">
            <w:t>om Goldenen Zeitalter zum Niedergang einer Großmacht (1569</w:t>
          </w:r>
          <w:r w:rsidR="00003426">
            <w:t>-</w:t>
          </w:r>
          <w:r w:rsidR="004D0F78" w:rsidRPr="004D0F78">
            <w:t>1795)</w:t>
          </w:r>
          <w:r w:rsidR="00A9660E">
            <w:rPr>
              <w:noProof/>
            </w:rPr>
            <mc:AlternateContent>
              <mc:Choice Requires="wps">
                <w:drawing>
                  <wp:anchor distT="0" distB="0" distL="114300" distR="114300" simplePos="0" relativeHeight="251659776" behindDoc="0" locked="0" layoutInCell="1" allowOverlap="1" wp14:anchorId="24F83CC3" wp14:editId="623FD4B6">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0" type="#_x0000_t202" style="position:absolute;margin-left:-39.45pt;margin-top:-34.9pt;width:21.9pt;height:837.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4D0F78" w:rsidP="000B629A">
          <w:pPr>
            <w:pStyle w:val="0berschrift4"/>
            <w:jc w:val="center"/>
          </w:pPr>
          <w:r>
            <w:rPr>
              <w:b/>
            </w:rPr>
            <w:t>Geschichte</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eip">
    <w15:presenceInfo w15:providerId="None" w15:userId="Kne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64E4"/>
    <w:rsid w:val="0006254E"/>
    <w:rsid w:val="00062CB1"/>
    <w:rsid w:val="00063791"/>
    <w:rsid w:val="0006678C"/>
    <w:rsid w:val="00070934"/>
    <w:rsid w:val="000720FC"/>
    <w:rsid w:val="00076C38"/>
    <w:rsid w:val="000819A0"/>
    <w:rsid w:val="00090646"/>
    <w:rsid w:val="00090AF9"/>
    <w:rsid w:val="000922CE"/>
    <w:rsid w:val="00092C6C"/>
    <w:rsid w:val="00096B03"/>
    <w:rsid w:val="000A6685"/>
    <w:rsid w:val="000B629A"/>
    <w:rsid w:val="000C6C75"/>
    <w:rsid w:val="000E0DE3"/>
    <w:rsid w:val="000E27EF"/>
    <w:rsid w:val="000E3D24"/>
    <w:rsid w:val="000E528E"/>
    <w:rsid w:val="000F2509"/>
    <w:rsid w:val="000F50A8"/>
    <w:rsid w:val="000F7CB4"/>
    <w:rsid w:val="00104275"/>
    <w:rsid w:val="00107625"/>
    <w:rsid w:val="00114C43"/>
    <w:rsid w:val="00121293"/>
    <w:rsid w:val="00127484"/>
    <w:rsid w:val="00137907"/>
    <w:rsid w:val="0014005F"/>
    <w:rsid w:val="0014256E"/>
    <w:rsid w:val="00144E39"/>
    <w:rsid w:val="00146FFD"/>
    <w:rsid w:val="001506D1"/>
    <w:rsid w:val="00161CAE"/>
    <w:rsid w:val="001624A8"/>
    <w:rsid w:val="0016339B"/>
    <w:rsid w:val="0016430F"/>
    <w:rsid w:val="001674F1"/>
    <w:rsid w:val="00173E8F"/>
    <w:rsid w:val="0019103D"/>
    <w:rsid w:val="00195BC8"/>
    <w:rsid w:val="0019678C"/>
    <w:rsid w:val="001B3E83"/>
    <w:rsid w:val="001C3BE3"/>
    <w:rsid w:val="001D59F6"/>
    <w:rsid w:val="001E07A0"/>
    <w:rsid w:val="001E1443"/>
    <w:rsid w:val="001E1C51"/>
    <w:rsid w:val="001E26DA"/>
    <w:rsid w:val="001E591A"/>
    <w:rsid w:val="001E6769"/>
    <w:rsid w:val="001F1FE7"/>
    <w:rsid w:val="001F367B"/>
    <w:rsid w:val="001F59B2"/>
    <w:rsid w:val="001F70F2"/>
    <w:rsid w:val="002017E5"/>
    <w:rsid w:val="0021125B"/>
    <w:rsid w:val="0021238E"/>
    <w:rsid w:val="00213F0A"/>
    <w:rsid w:val="002143E3"/>
    <w:rsid w:val="00215422"/>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0D85"/>
    <w:rsid w:val="00311278"/>
    <w:rsid w:val="00322E7A"/>
    <w:rsid w:val="0033586B"/>
    <w:rsid w:val="00340C99"/>
    <w:rsid w:val="0034341F"/>
    <w:rsid w:val="003524B3"/>
    <w:rsid w:val="00352A61"/>
    <w:rsid w:val="00355522"/>
    <w:rsid w:val="00356A49"/>
    <w:rsid w:val="00365669"/>
    <w:rsid w:val="003757C1"/>
    <w:rsid w:val="00376614"/>
    <w:rsid w:val="00383D1A"/>
    <w:rsid w:val="00383FB9"/>
    <w:rsid w:val="00386141"/>
    <w:rsid w:val="00387FBF"/>
    <w:rsid w:val="003A090D"/>
    <w:rsid w:val="003A5F2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CD"/>
    <w:rsid w:val="003E29FB"/>
    <w:rsid w:val="003E2E7F"/>
    <w:rsid w:val="003E4DD2"/>
    <w:rsid w:val="003E5059"/>
    <w:rsid w:val="003F19DC"/>
    <w:rsid w:val="003F21D9"/>
    <w:rsid w:val="003F2BAA"/>
    <w:rsid w:val="003F367E"/>
    <w:rsid w:val="00403829"/>
    <w:rsid w:val="00413E34"/>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0C9"/>
    <w:rsid w:val="00495876"/>
    <w:rsid w:val="00496EA9"/>
    <w:rsid w:val="004B02E4"/>
    <w:rsid w:val="004B0C4E"/>
    <w:rsid w:val="004B2857"/>
    <w:rsid w:val="004B56B9"/>
    <w:rsid w:val="004B7716"/>
    <w:rsid w:val="004C6104"/>
    <w:rsid w:val="004D0F78"/>
    <w:rsid w:val="004D1667"/>
    <w:rsid w:val="004D42E2"/>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2156"/>
    <w:rsid w:val="00581561"/>
    <w:rsid w:val="0058213D"/>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737A9"/>
    <w:rsid w:val="00685629"/>
    <w:rsid w:val="00687610"/>
    <w:rsid w:val="006902A7"/>
    <w:rsid w:val="006A29F4"/>
    <w:rsid w:val="006A336F"/>
    <w:rsid w:val="006A6EFC"/>
    <w:rsid w:val="006B0620"/>
    <w:rsid w:val="006B51AE"/>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61C1"/>
    <w:rsid w:val="00817D12"/>
    <w:rsid w:val="00820BEB"/>
    <w:rsid w:val="008228B5"/>
    <w:rsid w:val="008246EB"/>
    <w:rsid w:val="0082598C"/>
    <w:rsid w:val="00835FB5"/>
    <w:rsid w:val="008373A4"/>
    <w:rsid w:val="00842A0D"/>
    <w:rsid w:val="00845151"/>
    <w:rsid w:val="00845A23"/>
    <w:rsid w:val="00863AE2"/>
    <w:rsid w:val="008647FF"/>
    <w:rsid w:val="0086596D"/>
    <w:rsid w:val="0087090A"/>
    <w:rsid w:val="00870C90"/>
    <w:rsid w:val="008726D2"/>
    <w:rsid w:val="0087362D"/>
    <w:rsid w:val="008835DC"/>
    <w:rsid w:val="008849E7"/>
    <w:rsid w:val="00887A7D"/>
    <w:rsid w:val="00892F1C"/>
    <w:rsid w:val="008A2DF7"/>
    <w:rsid w:val="008B0642"/>
    <w:rsid w:val="008B389E"/>
    <w:rsid w:val="008B769E"/>
    <w:rsid w:val="008C277C"/>
    <w:rsid w:val="008C5935"/>
    <w:rsid w:val="008C77F4"/>
    <w:rsid w:val="008D08AA"/>
    <w:rsid w:val="008D3F4B"/>
    <w:rsid w:val="008D66C8"/>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27F"/>
    <w:rsid w:val="0094147E"/>
    <w:rsid w:val="00946B15"/>
    <w:rsid w:val="00947D43"/>
    <w:rsid w:val="00956EF2"/>
    <w:rsid w:val="00963518"/>
    <w:rsid w:val="00971E69"/>
    <w:rsid w:val="00984AF4"/>
    <w:rsid w:val="00986517"/>
    <w:rsid w:val="0098656D"/>
    <w:rsid w:val="00990706"/>
    <w:rsid w:val="0099163E"/>
    <w:rsid w:val="0099491D"/>
    <w:rsid w:val="009A74FD"/>
    <w:rsid w:val="009B6B2E"/>
    <w:rsid w:val="009C28A4"/>
    <w:rsid w:val="009C2A3F"/>
    <w:rsid w:val="009C4B06"/>
    <w:rsid w:val="009C5612"/>
    <w:rsid w:val="009F6231"/>
    <w:rsid w:val="00A03E9F"/>
    <w:rsid w:val="00A119F8"/>
    <w:rsid w:val="00A137FE"/>
    <w:rsid w:val="00A211DC"/>
    <w:rsid w:val="00A323A3"/>
    <w:rsid w:val="00A353D8"/>
    <w:rsid w:val="00A36401"/>
    <w:rsid w:val="00A3688C"/>
    <w:rsid w:val="00A37CDA"/>
    <w:rsid w:val="00A47ED1"/>
    <w:rsid w:val="00A529A5"/>
    <w:rsid w:val="00A53B22"/>
    <w:rsid w:val="00A62797"/>
    <w:rsid w:val="00A644E6"/>
    <w:rsid w:val="00A6623D"/>
    <w:rsid w:val="00A74B28"/>
    <w:rsid w:val="00A85CF5"/>
    <w:rsid w:val="00A8770A"/>
    <w:rsid w:val="00A90E52"/>
    <w:rsid w:val="00A90E9F"/>
    <w:rsid w:val="00A9197C"/>
    <w:rsid w:val="00A9660E"/>
    <w:rsid w:val="00A971C7"/>
    <w:rsid w:val="00AA0139"/>
    <w:rsid w:val="00AA6038"/>
    <w:rsid w:val="00AB071B"/>
    <w:rsid w:val="00AB28F7"/>
    <w:rsid w:val="00AB3C2B"/>
    <w:rsid w:val="00AC6971"/>
    <w:rsid w:val="00AD66BF"/>
    <w:rsid w:val="00AD74AC"/>
    <w:rsid w:val="00AE4D7F"/>
    <w:rsid w:val="00AE6A78"/>
    <w:rsid w:val="00AF063F"/>
    <w:rsid w:val="00AF24A9"/>
    <w:rsid w:val="00AF5811"/>
    <w:rsid w:val="00AF7FCE"/>
    <w:rsid w:val="00B055ED"/>
    <w:rsid w:val="00B11CE5"/>
    <w:rsid w:val="00B15216"/>
    <w:rsid w:val="00B15460"/>
    <w:rsid w:val="00B31DAE"/>
    <w:rsid w:val="00B37CAF"/>
    <w:rsid w:val="00B40C33"/>
    <w:rsid w:val="00B4144D"/>
    <w:rsid w:val="00B47511"/>
    <w:rsid w:val="00B60BB9"/>
    <w:rsid w:val="00B642E2"/>
    <w:rsid w:val="00B64402"/>
    <w:rsid w:val="00B660BA"/>
    <w:rsid w:val="00B67879"/>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46B3"/>
    <w:rsid w:val="00BE6C78"/>
    <w:rsid w:val="00BF18B1"/>
    <w:rsid w:val="00BF71E9"/>
    <w:rsid w:val="00C02725"/>
    <w:rsid w:val="00C030FF"/>
    <w:rsid w:val="00C04AC4"/>
    <w:rsid w:val="00C06C7B"/>
    <w:rsid w:val="00C204B5"/>
    <w:rsid w:val="00C27DC9"/>
    <w:rsid w:val="00C33D11"/>
    <w:rsid w:val="00C404F9"/>
    <w:rsid w:val="00C40BEB"/>
    <w:rsid w:val="00C45274"/>
    <w:rsid w:val="00C5487D"/>
    <w:rsid w:val="00C562DE"/>
    <w:rsid w:val="00C60D24"/>
    <w:rsid w:val="00C6166A"/>
    <w:rsid w:val="00C67B21"/>
    <w:rsid w:val="00C71DFD"/>
    <w:rsid w:val="00C73F55"/>
    <w:rsid w:val="00C7502F"/>
    <w:rsid w:val="00C83EA2"/>
    <w:rsid w:val="00C84B50"/>
    <w:rsid w:val="00C87972"/>
    <w:rsid w:val="00C965A7"/>
    <w:rsid w:val="00CA1933"/>
    <w:rsid w:val="00CA2AB7"/>
    <w:rsid w:val="00CA5837"/>
    <w:rsid w:val="00CB4729"/>
    <w:rsid w:val="00CC3FFC"/>
    <w:rsid w:val="00CD1001"/>
    <w:rsid w:val="00CD5F8B"/>
    <w:rsid w:val="00CD678A"/>
    <w:rsid w:val="00CE0B7A"/>
    <w:rsid w:val="00CE1EAE"/>
    <w:rsid w:val="00CE39D8"/>
    <w:rsid w:val="00CF2DBE"/>
    <w:rsid w:val="00D0153F"/>
    <w:rsid w:val="00D030E9"/>
    <w:rsid w:val="00D0391B"/>
    <w:rsid w:val="00D05730"/>
    <w:rsid w:val="00D12F13"/>
    <w:rsid w:val="00D2266B"/>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B12AA"/>
    <w:rsid w:val="00DB24EB"/>
    <w:rsid w:val="00DB26D4"/>
    <w:rsid w:val="00DB3AEC"/>
    <w:rsid w:val="00DC3001"/>
    <w:rsid w:val="00DD2C73"/>
    <w:rsid w:val="00DD3B31"/>
    <w:rsid w:val="00DE1DFB"/>
    <w:rsid w:val="00DE7CA4"/>
    <w:rsid w:val="00DF222A"/>
    <w:rsid w:val="00E02328"/>
    <w:rsid w:val="00E023D1"/>
    <w:rsid w:val="00E025DE"/>
    <w:rsid w:val="00E111A5"/>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90A16"/>
    <w:rsid w:val="00E96370"/>
    <w:rsid w:val="00E976F1"/>
    <w:rsid w:val="00EA2D1D"/>
    <w:rsid w:val="00EA7FDE"/>
    <w:rsid w:val="00EB7DB2"/>
    <w:rsid w:val="00EC2A6E"/>
    <w:rsid w:val="00EC6126"/>
    <w:rsid w:val="00ED3765"/>
    <w:rsid w:val="00EE1668"/>
    <w:rsid w:val="00EE42D0"/>
    <w:rsid w:val="00EE4AFB"/>
    <w:rsid w:val="00EE58C3"/>
    <w:rsid w:val="00F00C39"/>
    <w:rsid w:val="00F05ADB"/>
    <w:rsid w:val="00F05F07"/>
    <w:rsid w:val="00F06460"/>
    <w:rsid w:val="00F169E8"/>
    <w:rsid w:val="00F17BD7"/>
    <w:rsid w:val="00F205F5"/>
    <w:rsid w:val="00F249C1"/>
    <w:rsid w:val="00F25174"/>
    <w:rsid w:val="00F2580A"/>
    <w:rsid w:val="00F27B0C"/>
    <w:rsid w:val="00F3227C"/>
    <w:rsid w:val="00F4346E"/>
    <w:rsid w:val="00F533A9"/>
    <w:rsid w:val="00F60DC7"/>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BC"/>
    <w:rsid w:val="00FB5BE8"/>
    <w:rsid w:val="00FB6AB2"/>
    <w:rsid w:val="00FB7261"/>
    <w:rsid w:val="00FC41F7"/>
    <w:rsid w:val="00FC4E30"/>
    <w:rsid w:val="00FC6968"/>
    <w:rsid w:val="00FC71DC"/>
    <w:rsid w:val="00FD0935"/>
    <w:rsid w:val="00FD695E"/>
    <w:rsid w:val="00FD6DC3"/>
    <w:rsid w:val="00FE34B2"/>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onwealth.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VV4ku_ouSN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tscheundpolen.de/ereignisse/ereignis_jsp/key=teilung_erste_1772.html"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www.deutscheundpolen.de/themen/thema_jsp/key=polnisch_litauische_unio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r.de/radio/bayern2/sendungen/radiowissen/polen-teilung100.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01A8-8B16-4242-872E-326CB12B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4</Pages>
  <Words>978</Words>
  <Characters>6165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7129</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2014-06-12T12:13:00Z</cp:lastPrinted>
  <dcterms:created xsi:type="dcterms:W3CDTF">2014-06-12T11:23:00Z</dcterms:created>
  <dcterms:modified xsi:type="dcterms:W3CDTF">2014-06-12T12:13:00Z</dcterms:modified>
  <cp:category>Aktualitätendienst Politik</cp:category>
</cp:coreProperties>
</file>