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78" w:rsidRPr="00D72FC9" w:rsidRDefault="00A9660E" w:rsidP="004D0F78">
      <w:pPr>
        <w:autoSpaceDE w:val="0"/>
        <w:autoSpaceDN w:val="0"/>
        <w:adjustRightInd w:val="0"/>
        <w:spacing w:after="0" w:line="240" w:lineRule="auto"/>
        <w:rPr>
          <w:rFonts w:eastAsia="SabonCECV" w:cs="Arial"/>
          <w:sz w:val="24"/>
        </w:rPr>
      </w:pPr>
      <w:bookmarkStart w:id="0" w:name="_GoBack"/>
      <w:bookmarkEnd w:id="0"/>
      <w:r w:rsidRPr="001C3BE3">
        <w:rPr>
          <w:rFonts w:eastAsia="SabonCECV" w:cs="Arial"/>
          <w:noProof/>
          <w:sz w:val="24"/>
        </w:rPr>
        <w:drawing>
          <wp:inline distT="0" distB="0" distL="0" distR="0" wp14:anchorId="7138FE3C" wp14:editId="327E4799">
            <wp:extent cx="5454650" cy="2671445"/>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4650" cy="2671445"/>
                    </a:xfrm>
                    <a:prstGeom prst="rect">
                      <a:avLst/>
                    </a:prstGeom>
                    <a:noFill/>
                    <a:ln>
                      <a:noFill/>
                    </a:ln>
                  </pic:spPr>
                </pic:pic>
              </a:graphicData>
            </a:graphic>
          </wp:inline>
        </w:drawing>
      </w:r>
    </w:p>
    <w:p w:rsidR="004D0F78" w:rsidRPr="00D72FC9" w:rsidRDefault="004D0F78" w:rsidP="00003426">
      <w:pPr>
        <w:pStyle w:val="1Standardflietext"/>
        <w:rPr>
          <w:rFonts w:eastAsia="SabonCECV" w:cs="Arial"/>
          <w:i/>
        </w:rPr>
      </w:pPr>
      <w:r w:rsidRPr="00D72FC9">
        <w:rPr>
          <w:rFonts w:eastAsia="SabonCECV" w:cs="Arial"/>
          <w:i/>
        </w:rPr>
        <w:t xml:space="preserve">Jan </w:t>
      </w:r>
      <w:proofErr w:type="spellStart"/>
      <w:r w:rsidRPr="00D72FC9">
        <w:rPr>
          <w:rFonts w:eastAsia="SabonCECV" w:cs="Arial"/>
          <w:i/>
        </w:rPr>
        <w:t>Ma</w:t>
      </w:r>
      <w:r w:rsidR="009B6B2E" w:rsidRPr="00D72FC9">
        <w:rPr>
          <w:rFonts w:eastAsia="SabonCECV" w:cs="Arial"/>
          <w:i/>
        </w:rPr>
        <w:t>tejko</w:t>
      </w:r>
      <w:proofErr w:type="spellEnd"/>
      <w:r w:rsidR="009B6B2E" w:rsidRPr="00D72FC9">
        <w:rPr>
          <w:rFonts w:eastAsia="SabonCECV" w:cs="Arial"/>
          <w:i/>
        </w:rPr>
        <w:t xml:space="preserve">: Die </w:t>
      </w:r>
      <w:proofErr w:type="spellStart"/>
      <w:r w:rsidR="009B6B2E" w:rsidRPr="00D72FC9">
        <w:rPr>
          <w:rFonts w:eastAsia="SabonCECV" w:cs="Arial"/>
          <w:i/>
        </w:rPr>
        <w:t>Lubliner</w:t>
      </w:r>
      <w:proofErr w:type="spellEnd"/>
      <w:r w:rsidR="009B6B2E" w:rsidRPr="00D72FC9">
        <w:rPr>
          <w:rFonts w:eastAsia="SabonCECV" w:cs="Arial"/>
          <w:i/>
        </w:rPr>
        <w:t xml:space="preserve"> Union 1569 </w:t>
      </w:r>
      <w:r w:rsidRPr="00D72FC9">
        <w:rPr>
          <w:rFonts w:eastAsia="SabonCECV" w:cs="Arial"/>
          <w:i/>
        </w:rPr>
        <w:t>(Gemälde von 1869)</w:t>
      </w:r>
    </w:p>
    <w:p w:rsidR="008161C1" w:rsidRPr="00D72FC9" w:rsidRDefault="008161C1" w:rsidP="008161C1">
      <w:pPr>
        <w:spacing w:after="0" w:line="240" w:lineRule="auto"/>
        <w:rPr>
          <w:rFonts w:eastAsia="SabonCECV" w:cs="Arial"/>
          <w:b/>
          <w:szCs w:val="20"/>
        </w:rPr>
      </w:pPr>
    </w:p>
    <w:p w:rsidR="008161C1" w:rsidRPr="00D72FC9" w:rsidRDefault="008161C1" w:rsidP="008161C1">
      <w:pPr>
        <w:spacing w:after="0" w:line="240" w:lineRule="auto"/>
        <w:rPr>
          <w:rFonts w:eastAsia="SabonCECV" w:cs="Arial"/>
          <w:b/>
          <w:szCs w:val="20"/>
        </w:rPr>
      </w:pPr>
    </w:p>
    <w:p w:rsidR="004D0F78" w:rsidRPr="001C3BE3" w:rsidRDefault="00090646" w:rsidP="008161C1">
      <w:pPr>
        <w:spacing w:after="0" w:line="240" w:lineRule="auto"/>
        <w:rPr>
          <w:rFonts w:eastAsia="SabonCECV" w:cs="Arial"/>
          <w:b/>
          <w:i/>
          <w:szCs w:val="20"/>
        </w:rPr>
      </w:pPr>
      <w:r w:rsidRPr="001C3BE3">
        <w:rPr>
          <w:rFonts w:eastAsia="SabonCECV" w:cs="Arial"/>
          <w:i/>
          <w:sz w:val="24"/>
          <w:szCs w:val="20"/>
          <w:u w:val="single"/>
        </w:rPr>
        <w:t>Einführung</w:t>
      </w:r>
    </w:p>
    <w:p w:rsidR="00090646" w:rsidRPr="00D72FC9" w:rsidRDefault="00090646" w:rsidP="004D0F78">
      <w:pPr>
        <w:autoSpaceDE w:val="0"/>
        <w:autoSpaceDN w:val="0"/>
        <w:adjustRightInd w:val="0"/>
        <w:spacing w:after="0" w:line="240" w:lineRule="auto"/>
        <w:rPr>
          <w:rFonts w:eastAsia="SabonCECV" w:cs="Arial"/>
          <w:sz w:val="24"/>
          <w:szCs w:val="20"/>
          <w:u w:val="single"/>
        </w:rPr>
      </w:pPr>
    </w:p>
    <w:p w:rsidR="004D0F78" w:rsidRPr="003757C1" w:rsidRDefault="00090646" w:rsidP="004D0F78">
      <w:pPr>
        <w:pStyle w:val="0berschrift2"/>
        <w:spacing w:after="0" w:line="300" w:lineRule="atLeast"/>
        <w:rPr>
          <w:rFonts w:eastAsia="SabonCECV" w:cs="Arial"/>
          <w:b/>
          <w:u w:val="none"/>
        </w:rPr>
      </w:pPr>
      <w:r w:rsidRPr="003757C1">
        <w:rPr>
          <w:rFonts w:eastAsia="SabonCECV" w:cs="Arial"/>
          <w:b/>
          <w:u w:val="none"/>
        </w:rPr>
        <w:t>Die polnische Adelsrepublik.</w:t>
      </w:r>
    </w:p>
    <w:p w:rsidR="004D0F78" w:rsidRPr="003757C1" w:rsidRDefault="00090646" w:rsidP="004D0F78">
      <w:pPr>
        <w:pStyle w:val="0berschrift2"/>
        <w:spacing w:after="0" w:line="300" w:lineRule="atLeast"/>
        <w:rPr>
          <w:rFonts w:eastAsia="SabonCECV" w:cs="Arial"/>
          <w:b/>
          <w:u w:val="none"/>
        </w:rPr>
      </w:pPr>
      <w:r w:rsidRPr="003757C1">
        <w:rPr>
          <w:rFonts w:eastAsia="SabonCECV" w:cs="Arial"/>
          <w:b/>
          <w:u w:val="none"/>
        </w:rPr>
        <w:t>V</w:t>
      </w:r>
      <w:r w:rsidR="004D0F78" w:rsidRPr="003757C1">
        <w:rPr>
          <w:rFonts w:eastAsia="SabonCECV" w:cs="Arial"/>
          <w:b/>
          <w:u w:val="none"/>
        </w:rPr>
        <w:t>om Goldenen Zeitalter zum Niedergang einer Großmacht (1569-1795)</w:t>
      </w:r>
    </w:p>
    <w:p w:rsidR="004D0F78" w:rsidRPr="00D72FC9" w:rsidRDefault="004D0F78" w:rsidP="004D0F78">
      <w:pPr>
        <w:pStyle w:val="0berschrift3"/>
        <w:rPr>
          <w:rFonts w:eastAsia="SabonCECV" w:cs="Arial"/>
        </w:rPr>
      </w:pPr>
    </w:p>
    <w:p w:rsidR="004D0F78" w:rsidRPr="00D72FC9" w:rsidRDefault="004D0F78" w:rsidP="00090646">
      <w:pPr>
        <w:pStyle w:val="1Standardflietext"/>
        <w:jc w:val="both"/>
        <w:rPr>
          <w:rFonts w:eastAsia="SabonCECV" w:cs="Arial"/>
          <w:sz w:val="22"/>
        </w:rPr>
      </w:pPr>
      <w:r w:rsidRPr="00D72FC9">
        <w:rPr>
          <w:rFonts w:eastAsia="SabonCECV" w:cs="Arial"/>
          <w:sz w:val="22"/>
        </w:rPr>
        <w:t>Als Polen sich im Jahre 1569 mit Litauen zu einem gemeinsamen Staatswesen vereinte, entstand eine der größten Mächte und einer der größten Territorialstaaten Europas. Gut zwei Jahrhunderte später, nach Kriegen, Wirtschaftskrisen und dem Aufstieg eifersüchtiger Nachbarn, war das Land jedoch zerrüttet, wurde trotz hektischer Reformanstrengungen und heftiger Gegenwehr unter Preußen, Österreich und Russland aufgeteilt und verschwand von der Landkarte. Die Ursachen dafür waren vielfältig.</w:t>
      </w:r>
    </w:p>
    <w:p w:rsidR="004D0F78" w:rsidRPr="00D72FC9" w:rsidRDefault="004D0F78" w:rsidP="00090646">
      <w:pPr>
        <w:pStyle w:val="1Standardflietext"/>
        <w:jc w:val="both"/>
        <w:rPr>
          <w:rFonts w:eastAsia="SabonCECV" w:cs="Arial"/>
          <w:sz w:val="22"/>
        </w:rPr>
      </w:pPr>
      <w:r w:rsidRPr="00D72FC9">
        <w:rPr>
          <w:rFonts w:eastAsia="SabonCECV" w:cs="Arial"/>
          <w:sz w:val="22"/>
        </w:rPr>
        <w:t xml:space="preserve">Mit der </w:t>
      </w:r>
      <w:proofErr w:type="spellStart"/>
      <w:r w:rsidRPr="00D72FC9">
        <w:rPr>
          <w:rFonts w:eastAsia="SabonCECV" w:cs="Arial"/>
          <w:sz w:val="22"/>
        </w:rPr>
        <w:t>Lubliner</w:t>
      </w:r>
      <w:proofErr w:type="spellEnd"/>
      <w:r w:rsidRPr="00D72FC9">
        <w:rPr>
          <w:rFonts w:eastAsia="SabonCECV" w:cs="Arial"/>
          <w:sz w:val="22"/>
        </w:rPr>
        <w:t xml:space="preserve"> Union 1569 gingen unter Zygmunt II. August, dem letzten polnischen König aus dem Haus der Jagiellonen, Polen und das Großfürstentum Litauen, die seit dem Ende des 14.</w:t>
      </w:r>
      <w:r w:rsidR="00003426" w:rsidRPr="00D72FC9">
        <w:rPr>
          <w:rFonts w:eastAsia="SabonCECV" w:cs="Arial"/>
          <w:sz w:val="22"/>
        </w:rPr>
        <w:t> </w:t>
      </w:r>
      <w:r w:rsidRPr="00D72FC9">
        <w:rPr>
          <w:rFonts w:eastAsia="SabonCECV" w:cs="Arial"/>
          <w:sz w:val="22"/>
        </w:rPr>
        <w:t xml:space="preserve">Jahrhunderts in einer Personalunion verbunden waren, eine Realunion ein. Der neue Großstaat erhielt einen gemeinsamen Reichstag (Sejm), und auch die Außenpolitik und das Münzwesen wurden zusammengeführt. Die </w:t>
      </w:r>
      <w:r w:rsidR="00E90A16" w:rsidRPr="00D72FC9">
        <w:rPr>
          <w:rFonts w:eastAsia="SabonCECV" w:cs="Arial"/>
          <w:sz w:val="22"/>
        </w:rPr>
        <w:t>„</w:t>
      </w:r>
      <w:r w:rsidR="00FE34B2" w:rsidRPr="00D72FC9">
        <w:rPr>
          <w:rFonts w:eastAsia="SabonCECV" w:cs="Arial"/>
          <w:sz w:val="22"/>
        </w:rPr>
        <w:t>Republik beider Nationen</w:t>
      </w:r>
      <w:r w:rsidR="003A5F2B" w:rsidRPr="00D72FC9">
        <w:rPr>
          <w:rFonts w:eastAsia="SabonCECV" w:cs="Arial"/>
          <w:sz w:val="22"/>
        </w:rPr>
        <w:t>“</w:t>
      </w:r>
      <w:r w:rsidRPr="00D72FC9">
        <w:rPr>
          <w:rFonts w:eastAsia="SabonCECV" w:cs="Arial"/>
          <w:sz w:val="22"/>
        </w:rPr>
        <w:t xml:space="preserve">, wie sie fortan genannt wurde, reichte von Danzig bis kurz vor die Krim, von Estland bis in die heutige Slowakei. In Wirklichkeit bewohnten jedoch viele </w:t>
      </w:r>
      <w:r w:rsidR="003A5F2B" w:rsidRPr="00D72FC9">
        <w:rPr>
          <w:rFonts w:eastAsia="SabonCECV" w:cs="Arial"/>
          <w:sz w:val="22"/>
        </w:rPr>
        <w:t xml:space="preserve">Völker </w:t>
      </w:r>
      <w:r w:rsidRPr="00D72FC9">
        <w:rPr>
          <w:rFonts w:eastAsia="SabonCECV" w:cs="Arial"/>
          <w:sz w:val="22"/>
        </w:rPr>
        <w:t>das Reich, die zudem verschiedenen Religionen angehörten.</w:t>
      </w:r>
    </w:p>
    <w:p w:rsidR="004D0F78" w:rsidRPr="00D72FC9" w:rsidRDefault="004D0F78" w:rsidP="00090646">
      <w:pPr>
        <w:pStyle w:val="1Standardflietext"/>
        <w:jc w:val="both"/>
        <w:rPr>
          <w:rFonts w:eastAsia="SabonCECV" w:cs="Arial"/>
          <w:sz w:val="22"/>
        </w:rPr>
      </w:pPr>
      <w:r w:rsidRPr="00D72FC9">
        <w:rPr>
          <w:rFonts w:eastAsia="SabonCECV" w:cs="Arial"/>
          <w:sz w:val="22"/>
        </w:rPr>
        <w:t xml:space="preserve">In dieser polnisch-litauischen </w:t>
      </w:r>
      <w:r w:rsidR="00003426" w:rsidRPr="00D72FC9">
        <w:rPr>
          <w:rFonts w:eastAsia="SabonCECV" w:cs="Arial"/>
          <w:sz w:val="22"/>
        </w:rPr>
        <w:t>„</w:t>
      </w:r>
      <w:proofErr w:type="spellStart"/>
      <w:r w:rsidRPr="00D72FC9">
        <w:rPr>
          <w:rFonts w:eastAsia="SabonCECV" w:cs="Arial"/>
          <w:sz w:val="22"/>
        </w:rPr>
        <w:t>Rzeczpospolita</w:t>
      </w:r>
      <w:proofErr w:type="spellEnd"/>
      <w:r w:rsidR="00003426" w:rsidRPr="00D72FC9">
        <w:rPr>
          <w:rFonts w:eastAsia="SabonCECV" w:cs="Arial"/>
          <w:sz w:val="22"/>
        </w:rPr>
        <w:t>“</w:t>
      </w:r>
      <w:r w:rsidRPr="00D72FC9">
        <w:rPr>
          <w:rFonts w:eastAsia="SabonCECV" w:cs="Arial"/>
          <w:sz w:val="22"/>
        </w:rPr>
        <w:t xml:space="preserve"> </w:t>
      </w:r>
      <w:r w:rsidR="00003426" w:rsidRPr="00D72FC9">
        <w:rPr>
          <w:rFonts w:eastAsia="SabonCECV" w:cs="Arial"/>
          <w:sz w:val="22"/>
        </w:rPr>
        <w:t>{</w:t>
      </w:r>
      <w:proofErr w:type="spellStart"/>
      <w:r w:rsidR="00003426" w:rsidRPr="00D72FC9">
        <w:rPr>
          <w:rFonts w:eastAsia="SabonCECV-Italic" w:cs="Arial"/>
          <w:i/>
          <w:sz w:val="22"/>
        </w:rPr>
        <w:t>schetschpospolita</w:t>
      </w:r>
      <w:proofErr w:type="spellEnd"/>
      <w:r w:rsidR="00003426" w:rsidRPr="00D72FC9">
        <w:rPr>
          <w:rFonts w:eastAsia="SabonCECV-Italic" w:cs="Arial"/>
          <w:i/>
          <w:sz w:val="22"/>
        </w:rPr>
        <w:t>}</w:t>
      </w:r>
      <w:r w:rsidR="00003426" w:rsidRPr="00D72FC9">
        <w:rPr>
          <w:rFonts w:eastAsia="SabonCECV" w:cs="Arial"/>
          <w:sz w:val="22"/>
        </w:rPr>
        <w:t xml:space="preserve"> </w:t>
      </w:r>
      <w:r w:rsidRPr="00D72FC9">
        <w:rPr>
          <w:rFonts w:eastAsia="SabonCECV" w:cs="Arial"/>
          <w:sz w:val="22"/>
        </w:rPr>
        <w:t>(</w:t>
      </w:r>
      <w:proofErr w:type="spellStart"/>
      <w:r w:rsidRPr="00D72FC9">
        <w:rPr>
          <w:rFonts w:eastAsia="SabonCECV" w:cs="Arial"/>
          <w:sz w:val="22"/>
        </w:rPr>
        <w:t>poln</w:t>
      </w:r>
      <w:proofErr w:type="spellEnd"/>
      <w:r w:rsidRPr="00D72FC9">
        <w:rPr>
          <w:rFonts w:eastAsia="SabonCECV" w:cs="Arial"/>
          <w:sz w:val="22"/>
        </w:rPr>
        <w:t>. für Republik</w:t>
      </w:r>
      <w:r w:rsidR="00003426" w:rsidRPr="00D72FC9">
        <w:rPr>
          <w:rFonts w:eastAsia="SabonCECV" w:cs="Arial"/>
          <w:sz w:val="22"/>
        </w:rPr>
        <w:t>)</w:t>
      </w:r>
      <w:r w:rsidRPr="00D72FC9">
        <w:rPr>
          <w:rFonts w:eastAsia="SabonCECV" w:cs="Arial"/>
          <w:sz w:val="22"/>
        </w:rPr>
        <w:t xml:space="preserve">  spielte der Adel, der am Ende des 18.</w:t>
      </w:r>
      <w:r w:rsidR="00003426" w:rsidRPr="00D72FC9">
        <w:rPr>
          <w:rFonts w:eastAsia="SabonCECV" w:cs="Arial"/>
          <w:sz w:val="22"/>
        </w:rPr>
        <w:t> </w:t>
      </w:r>
      <w:r w:rsidRPr="00D72FC9">
        <w:rPr>
          <w:rFonts w:eastAsia="SabonCECV" w:cs="Arial"/>
          <w:sz w:val="22"/>
        </w:rPr>
        <w:t>Jahrhunderts zwischen 6</w:t>
      </w:r>
      <w:r w:rsidR="00003426" w:rsidRPr="00D72FC9">
        <w:rPr>
          <w:rFonts w:eastAsia="SabonCECV" w:cs="Arial"/>
          <w:sz w:val="22"/>
        </w:rPr>
        <w:t> </w:t>
      </w:r>
      <w:r w:rsidRPr="00D72FC9">
        <w:rPr>
          <w:rFonts w:eastAsia="SabonCECV" w:cs="Arial"/>
          <w:sz w:val="22"/>
        </w:rPr>
        <w:t>% und 10</w:t>
      </w:r>
      <w:r w:rsidR="00003426" w:rsidRPr="00D72FC9">
        <w:rPr>
          <w:rFonts w:eastAsia="SabonCECV" w:cs="Arial"/>
          <w:sz w:val="22"/>
        </w:rPr>
        <w:t> </w:t>
      </w:r>
      <w:r w:rsidRPr="00D72FC9">
        <w:rPr>
          <w:rFonts w:eastAsia="SabonCECV" w:cs="Arial"/>
          <w:sz w:val="22"/>
        </w:rPr>
        <w:t>% der Bevölkerung ausmachte und eine eigene Kultur (</w:t>
      </w:r>
      <w:r w:rsidR="00003426" w:rsidRPr="00D72FC9">
        <w:rPr>
          <w:rFonts w:eastAsia="SabonCECV" w:cs="Arial"/>
          <w:sz w:val="22"/>
        </w:rPr>
        <w:t>„</w:t>
      </w:r>
      <w:proofErr w:type="spellStart"/>
      <w:r w:rsidRPr="00D72FC9">
        <w:rPr>
          <w:rFonts w:eastAsia="SabonCECV" w:cs="Arial"/>
          <w:sz w:val="22"/>
        </w:rPr>
        <w:t>Sarmatismus</w:t>
      </w:r>
      <w:proofErr w:type="spellEnd"/>
      <w:r w:rsidR="00003426" w:rsidRPr="00D72FC9">
        <w:rPr>
          <w:rFonts w:eastAsia="SabonCECV" w:cs="Arial"/>
          <w:sz w:val="22"/>
        </w:rPr>
        <w:t>“</w:t>
      </w:r>
      <w:r w:rsidRPr="00D72FC9">
        <w:rPr>
          <w:rFonts w:eastAsia="SabonCECV" w:cs="Arial"/>
          <w:sz w:val="22"/>
        </w:rPr>
        <w:t xml:space="preserve">) entwickelte, eine dominierende Rolle. Nach dem Tod Zygmunts II. August im Jahr 1572 bildete sich eine Wahlmonarchie heraus. Da die Könige vom Adel gewählt wurden, konnte dieser die Königsmacht zugunsten eigener Vorrechte immer stärker aushöhlen. Einen großen Einfluss auf die Politik gewannen dabei die </w:t>
      </w:r>
      <w:r w:rsidR="00003426" w:rsidRPr="00D72FC9">
        <w:rPr>
          <w:rFonts w:eastAsia="SabonCECV" w:cs="Arial"/>
          <w:sz w:val="22"/>
        </w:rPr>
        <w:t>„</w:t>
      </w:r>
      <w:r w:rsidRPr="00D72FC9">
        <w:rPr>
          <w:rFonts w:eastAsia="SabonCECV" w:cs="Arial"/>
          <w:sz w:val="22"/>
        </w:rPr>
        <w:t>Magnaten</w:t>
      </w:r>
      <w:r w:rsidR="00003426" w:rsidRPr="00D72FC9">
        <w:rPr>
          <w:rFonts w:eastAsia="SabonCECV" w:cs="Arial"/>
          <w:sz w:val="22"/>
        </w:rPr>
        <w:t>“</w:t>
      </w:r>
      <w:r w:rsidRPr="00D72FC9">
        <w:rPr>
          <w:rFonts w:eastAsia="SabonCECV" w:cs="Arial"/>
          <w:sz w:val="22"/>
        </w:rPr>
        <w:t xml:space="preserve">, Besitzer riesiger Ländereien, die nicht nur eigene Städte gründeten, sondern sich mit der Zeit auch Privatarmeen zulegten, um ihre Interessen durchsetzen zu können. Seit 1652 galt zudem das Recht des </w:t>
      </w:r>
      <w:r w:rsidR="00003426" w:rsidRPr="00D72FC9">
        <w:rPr>
          <w:rFonts w:eastAsia="SabonCECV" w:cs="Arial"/>
          <w:sz w:val="22"/>
        </w:rPr>
        <w:t>„</w:t>
      </w:r>
      <w:proofErr w:type="spellStart"/>
      <w:r w:rsidRPr="00D72FC9">
        <w:rPr>
          <w:rFonts w:eastAsia="SabonCECV" w:cs="Arial"/>
          <w:sz w:val="22"/>
        </w:rPr>
        <w:t>liberum</w:t>
      </w:r>
      <w:proofErr w:type="spellEnd"/>
      <w:r w:rsidRPr="00D72FC9">
        <w:rPr>
          <w:rFonts w:eastAsia="SabonCECV" w:cs="Arial"/>
          <w:sz w:val="22"/>
        </w:rPr>
        <w:t xml:space="preserve"> </w:t>
      </w:r>
      <w:proofErr w:type="spellStart"/>
      <w:r w:rsidRPr="00D72FC9">
        <w:rPr>
          <w:rFonts w:eastAsia="SabonCECV" w:cs="Arial"/>
          <w:sz w:val="22"/>
        </w:rPr>
        <w:t>veto</w:t>
      </w:r>
      <w:proofErr w:type="spellEnd"/>
      <w:r w:rsidR="00003426" w:rsidRPr="00D72FC9">
        <w:rPr>
          <w:rFonts w:eastAsia="SabonCECV" w:cs="Arial"/>
          <w:sz w:val="22"/>
        </w:rPr>
        <w:t>“</w:t>
      </w:r>
      <w:r w:rsidRPr="00D72FC9">
        <w:rPr>
          <w:rFonts w:eastAsia="SabonCECV" w:cs="Arial"/>
          <w:sz w:val="22"/>
        </w:rPr>
        <w:t xml:space="preserve"> (von lat. </w:t>
      </w:r>
      <w:r w:rsidR="00003426" w:rsidRPr="00D72FC9">
        <w:rPr>
          <w:rFonts w:eastAsia="SabonCECV" w:cs="Arial"/>
          <w:sz w:val="22"/>
        </w:rPr>
        <w:t>„</w:t>
      </w:r>
      <w:proofErr w:type="spellStart"/>
      <w:r w:rsidRPr="00D72FC9">
        <w:rPr>
          <w:rFonts w:eastAsia="SabonCECV" w:cs="Arial"/>
          <w:sz w:val="22"/>
        </w:rPr>
        <w:t>liber</w:t>
      </w:r>
      <w:proofErr w:type="spellEnd"/>
      <w:r w:rsidR="00003426" w:rsidRPr="00D72FC9">
        <w:rPr>
          <w:rFonts w:eastAsia="SabonCECV" w:cs="Arial"/>
          <w:sz w:val="22"/>
        </w:rPr>
        <w:t>“</w:t>
      </w:r>
      <w:r w:rsidRPr="00D72FC9">
        <w:rPr>
          <w:rFonts w:eastAsia="SabonCECV" w:cs="Arial"/>
          <w:sz w:val="22"/>
        </w:rPr>
        <w:t xml:space="preserve"> = frei und </w:t>
      </w:r>
      <w:r w:rsidR="00003426" w:rsidRPr="00D72FC9">
        <w:rPr>
          <w:rFonts w:eastAsia="SabonCECV" w:cs="Arial"/>
          <w:sz w:val="22"/>
        </w:rPr>
        <w:t>„</w:t>
      </w:r>
      <w:proofErr w:type="spellStart"/>
      <w:r w:rsidRPr="00D72FC9">
        <w:rPr>
          <w:rFonts w:eastAsia="SabonCECV" w:cs="Arial"/>
          <w:sz w:val="22"/>
        </w:rPr>
        <w:t>veto</w:t>
      </w:r>
      <w:proofErr w:type="spellEnd"/>
      <w:r w:rsidR="00003426" w:rsidRPr="00D72FC9">
        <w:rPr>
          <w:rFonts w:eastAsia="SabonCECV" w:cs="Arial"/>
          <w:sz w:val="22"/>
        </w:rPr>
        <w:t>“</w:t>
      </w:r>
      <w:r w:rsidRPr="00D72FC9">
        <w:rPr>
          <w:rFonts w:eastAsia="SabonCECV" w:cs="Arial"/>
          <w:sz w:val="22"/>
        </w:rPr>
        <w:t xml:space="preserve"> = ich verbiete), was besagte, dass eine Gegenstimme ausreichte, um Beschlüsse des Reichstags zu blockieren. Die Wirkkraft des Vetos ging so weit, dass dadurch alle vorhergehenden Beschlüsse der jeweiligen Sitzungsperiode aufgehoben waren.</w:t>
      </w:r>
    </w:p>
    <w:p w:rsidR="004D0F78" w:rsidRPr="00D72FC9" w:rsidRDefault="004D0F78" w:rsidP="00090646">
      <w:pPr>
        <w:pStyle w:val="1Standardflietext"/>
        <w:jc w:val="both"/>
        <w:rPr>
          <w:rFonts w:eastAsia="SabonCECV" w:cs="Arial"/>
          <w:sz w:val="22"/>
        </w:rPr>
      </w:pPr>
      <w:r w:rsidRPr="00D72FC9">
        <w:rPr>
          <w:rFonts w:eastAsia="SabonCECV" w:cs="Arial"/>
          <w:sz w:val="22"/>
        </w:rPr>
        <w:t xml:space="preserve">Die Wahl des Königs von Polen wurde zu einem Ereignis von europäischem Rang. Meist standen sich mehrere Kandidaten gegenüber und versuchten, eine Mehrheit des Adels auf ihre Seite zu bringen. Zunächst kam ein Franzose auf den Thron (Henri Valois), dann ein Ungar (Stefan </w:t>
      </w:r>
      <w:proofErr w:type="spellStart"/>
      <w:r w:rsidRPr="00D72FC9">
        <w:rPr>
          <w:rFonts w:eastAsia="SabonCECV" w:cs="Arial"/>
          <w:sz w:val="22"/>
        </w:rPr>
        <w:t>Báthory</w:t>
      </w:r>
      <w:proofErr w:type="spellEnd"/>
      <w:r w:rsidRPr="00D72FC9">
        <w:rPr>
          <w:rFonts w:eastAsia="SabonCECV" w:cs="Arial"/>
          <w:sz w:val="22"/>
        </w:rPr>
        <w:t xml:space="preserve">) und 1587 der erste von drei Königen aus dem schwedischen </w:t>
      </w:r>
      <w:r w:rsidRPr="00D72FC9">
        <w:rPr>
          <w:rFonts w:eastAsia="SabonCECV" w:cs="Arial"/>
          <w:sz w:val="22"/>
        </w:rPr>
        <w:lastRenderedPageBreak/>
        <w:t>Herrscherhaus der Wasa, Zygmunt III. Die schwedische Herrschaft führte recht bald zu dynastischen Konflikten mit Schweden und mehreren Kriegen, deren verheerendster (</w:t>
      </w:r>
      <w:r w:rsidR="00003426" w:rsidRPr="00D72FC9">
        <w:rPr>
          <w:rFonts w:eastAsia="SabonCECV" w:cs="Arial"/>
          <w:sz w:val="22"/>
        </w:rPr>
        <w:t>„</w:t>
      </w:r>
      <w:r w:rsidRPr="00D72FC9">
        <w:rPr>
          <w:rFonts w:eastAsia="SabonCECV" w:cs="Arial"/>
          <w:sz w:val="22"/>
        </w:rPr>
        <w:t>Zweiter Nordischer Krieg</w:t>
      </w:r>
      <w:r w:rsidR="00003426" w:rsidRPr="00D72FC9">
        <w:rPr>
          <w:rFonts w:eastAsia="SabonCECV" w:cs="Arial"/>
          <w:sz w:val="22"/>
        </w:rPr>
        <w:t>“</w:t>
      </w:r>
      <w:r w:rsidRPr="00D72FC9">
        <w:rPr>
          <w:rFonts w:eastAsia="SabonCECV" w:cs="Arial"/>
          <w:sz w:val="22"/>
        </w:rPr>
        <w:t xml:space="preserve">, 1655 –1660) weite Teile Polens verwüstete. In Polen nennt man diesen Krieg deshalb </w:t>
      </w:r>
      <w:r w:rsidR="00003426" w:rsidRPr="00D72FC9">
        <w:rPr>
          <w:rFonts w:eastAsia="SabonCECV" w:cs="Arial"/>
          <w:sz w:val="22"/>
        </w:rPr>
        <w:t>„</w:t>
      </w:r>
      <w:r w:rsidRPr="00D72FC9">
        <w:rPr>
          <w:rFonts w:eastAsia="SabonCECV" w:cs="Arial"/>
          <w:sz w:val="22"/>
        </w:rPr>
        <w:t>die Sintflut</w:t>
      </w:r>
      <w:r w:rsidR="00003426" w:rsidRPr="00D72FC9">
        <w:rPr>
          <w:rFonts w:eastAsia="SabonCECV" w:cs="Arial"/>
          <w:sz w:val="22"/>
        </w:rPr>
        <w:t>“</w:t>
      </w:r>
      <w:r w:rsidR="003A5F2B" w:rsidRPr="00D72FC9">
        <w:rPr>
          <w:rFonts w:eastAsia="SabonCECV" w:cs="Arial"/>
          <w:sz w:val="22"/>
        </w:rPr>
        <w:t xml:space="preserve"> (</w:t>
      </w:r>
      <w:r w:rsidR="00003426" w:rsidRPr="00D72FC9">
        <w:rPr>
          <w:rFonts w:eastAsia="SabonCECV" w:cs="Arial"/>
          <w:sz w:val="22"/>
        </w:rPr>
        <w:t>„</w:t>
      </w:r>
      <w:proofErr w:type="spellStart"/>
      <w:r w:rsidR="003A5F2B" w:rsidRPr="00D72FC9">
        <w:rPr>
          <w:rFonts w:eastAsia="SabonCECV" w:cs="Arial"/>
          <w:sz w:val="22"/>
        </w:rPr>
        <w:t>potop</w:t>
      </w:r>
      <w:proofErr w:type="spellEnd"/>
      <w:r w:rsidR="00003426" w:rsidRPr="00D72FC9">
        <w:rPr>
          <w:rFonts w:eastAsia="SabonCECV" w:cs="Arial"/>
          <w:sz w:val="22"/>
        </w:rPr>
        <w:t>“</w:t>
      </w:r>
      <w:r w:rsidR="003A5F2B" w:rsidRPr="00D72FC9">
        <w:rPr>
          <w:rFonts w:eastAsia="SabonCECV" w:cs="Arial"/>
          <w:sz w:val="22"/>
        </w:rPr>
        <w:t>)</w:t>
      </w:r>
      <w:r w:rsidRPr="00D72FC9">
        <w:rPr>
          <w:rFonts w:eastAsia="SabonCECV" w:cs="Arial"/>
          <w:sz w:val="22"/>
        </w:rPr>
        <w:t xml:space="preserve">. Nachdem mit Jan III. </w:t>
      </w:r>
      <w:proofErr w:type="spellStart"/>
      <w:r w:rsidRPr="00D72FC9">
        <w:rPr>
          <w:rFonts w:eastAsia="SabonCECV" w:cs="Arial"/>
          <w:sz w:val="22"/>
        </w:rPr>
        <w:t>Sobieski</w:t>
      </w:r>
      <w:proofErr w:type="spellEnd"/>
      <w:r w:rsidRPr="00D72FC9">
        <w:rPr>
          <w:rFonts w:eastAsia="SabonCECV" w:cs="Arial"/>
          <w:sz w:val="22"/>
        </w:rPr>
        <w:t xml:space="preserve"> 1674 wieder ein Pole König geworden war – er kam 1683 dem von den Türken belagerten Wien zu Hilfe –, bestieg 1697 der sächsische Kurfürst als August II. den Thron. Es folgten neue Kriege gegen Schweden (</w:t>
      </w:r>
      <w:r w:rsidR="00003426" w:rsidRPr="00D72FC9">
        <w:rPr>
          <w:rFonts w:eastAsia="SabonCECV" w:cs="Arial"/>
          <w:sz w:val="22"/>
        </w:rPr>
        <w:t>„</w:t>
      </w:r>
      <w:r w:rsidRPr="00D72FC9">
        <w:rPr>
          <w:rFonts w:eastAsia="SabonCECV" w:cs="Arial"/>
          <w:sz w:val="22"/>
        </w:rPr>
        <w:t>Großer Nordischer Krieg</w:t>
      </w:r>
      <w:r w:rsidR="00003426" w:rsidRPr="00D72FC9">
        <w:rPr>
          <w:rFonts w:eastAsia="SabonCECV" w:cs="Arial"/>
          <w:sz w:val="22"/>
        </w:rPr>
        <w:t>“</w:t>
      </w:r>
      <w:r w:rsidRPr="00D72FC9">
        <w:rPr>
          <w:rFonts w:eastAsia="SabonCECV" w:cs="Arial"/>
          <w:sz w:val="22"/>
        </w:rPr>
        <w:t>, 1700</w:t>
      </w:r>
      <w:r w:rsidR="00D72FC9" w:rsidRPr="00D72FC9">
        <w:rPr>
          <w:rFonts w:eastAsia="SabonCECV" w:cs="Arial"/>
          <w:sz w:val="22"/>
        </w:rPr>
        <w:t>-</w:t>
      </w:r>
      <w:r w:rsidRPr="00D72FC9">
        <w:rPr>
          <w:rFonts w:eastAsia="SabonCECV" w:cs="Arial"/>
          <w:sz w:val="22"/>
        </w:rPr>
        <w:t>1721), welche die ohnehin schon geschwächte Zentralmacht des Landes derart strapazierten, dass der König auf fremde, vor allem russische Hilfe angewiesen war. Aufgrund der militärischen Schwäche Polens wurde außerdem das aufstrebende Brandenburg-Preußen zu einer zunehmenden Gefahr. Das erneut stark kriegszerstörte Polen wurde zum Spielball der Politik der Großmächte und war innenpolitisch zwischen den Einzelinteressen von Magnaten, übrigem Adel und Hof</w:t>
      </w:r>
      <w:r w:rsidR="003A5F2B" w:rsidRPr="00D72FC9">
        <w:rPr>
          <w:rFonts w:eastAsia="SabonCECV" w:cs="Arial"/>
          <w:sz w:val="22"/>
        </w:rPr>
        <w:t xml:space="preserve"> zerrissen</w:t>
      </w:r>
      <w:r w:rsidRPr="00D72FC9">
        <w:rPr>
          <w:rFonts w:eastAsia="SabonCECV" w:cs="Arial"/>
          <w:sz w:val="22"/>
        </w:rPr>
        <w:t>. Erschwerend kam hinzu, dass die wirtschaftliche Grundlage des Landes, der auf Großgrundbesitz und Leibeigenschaft gestützte Getreideexport nach Mittel- und Westeuropa, durch Kriege und sinkende Konkurrenzfähigkeit an Bedeutung verlor.</w:t>
      </w:r>
    </w:p>
    <w:p w:rsidR="004D0F78" w:rsidRPr="00D72FC9" w:rsidRDefault="004D0F78" w:rsidP="00090646">
      <w:pPr>
        <w:pStyle w:val="1Standardflietext"/>
        <w:jc w:val="both"/>
        <w:rPr>
          <w:rFonts w:eastAsia="SabonCECV" w:cs="Arial"/>
          <w:sz w:val="22"/>
        </w:rPr>
      </w:pPr>
      <w:r w:rsidRPr="00D72FC9">
        <w:rPr>
          <w:rFonts w:eastAsia="SabonCECV" w:cs="Arial"/>
          <w:sz w:val="22"/>
        </w:rPr>
        <w:t>Die Schwäche des Staats, die Stärke der Magnaten und die destruktive Einflussnahme der Nachbarn wurden unter dem zweiten Sachsenkönig August III. (1733</w:t>
      </w:r>
      <w:r w:rsidR="00D72FC9" w:rsidRPr="00D72FC9">
        <w:rPr>
          <w:rFonts w:eastAsia="SabonCECV" w:cs="Arial"/>
          <w:sz w:val="22"/>
        </w:rPr>
        <w:t>-</w:t>
      </w:r>
      <w:r w:rsidRPr="00D72FC9">
        <w:rPr>
          <w:rFonts w:eastAsia="SabonCECV" w:cs="Arial"/>
          <w:sz w:val="22"/>
        </w:rPr>
        <w:t xml:space="preserve">1763) so bedrohlich, dass sich in weiten Kreisen die Überzeugung von der unabdinglichen Reform der Adelsrepublik </w:t>
      </w:r>
      <w:proofErr w:type="spellStart"/>
      <w:r w:rsidRPr="00D72FC9">
        <w:rPr>
          <w:rFonts w:eastAsia="SabonCECV" w:cs="Arial"/>
          <w:sz w:val="22"/>
        </w:rPr>
        <w:t>durchsetzte</w:t>
      </w:r>
      <w:proofErr w:type="spellEnd"/>
      <w:r w:rsidRPr="00D72FC9">
        <w:rPr>
          <w:rFonts w:eastAsia="SabonCECV" w:cs="Arial"/>
          <w:sz w:val="22"/>
        </w:rPr>
        <w:t xml:space="preserve">. Unterstützt von </w:t>
      </w:r>
      <w:proofErr w:type="spellStart"/>
      <w:r w:rsidRPr="00D72FC9">
        <w:rPr>
          <w:rFonts w:eastAsia="SabonCECV" w:cs="Arial"/>
          <w:sz w:val="22"/>
        </w:rPr>
        <w:t>Stanisław</w:t>
      </w:r>
      <w:proofErr w:type="spellEnd"/>
      <w:r w:rsidRPr="00D72FC9">
        <w:rPr>
          <w:rFonts w:eastAsia="SabonCECV" w:cs="Arial"/>
          <w:sz w:val="22"/>
        </w:rPr>
        <w:t xml:space="preserve"> II. August </w:t>
      </w:r>
      <w:proofErr w:type="spellStart"/>
      <w:r w:rsidRPr="00D72FC9">
        <w:rPr>
          <w:rFonts w:eastAsia="SabonCECV" w:cs="Arial"/>
          <w:sz w:val="22"/>
        </w:rPr>
        <w:t>Poniatowski</w:t>
      </w:r>
      <w:proofErr w:type="spellEnd"/>
      <w:r w:rsidRPr="00D72FC9">
        <w:rPr>
          <w:rFonts w:eastAsia="SabonCECV" w:cs="Arial"/>
          <w:sz w:val="22"/>
        </w:rPr>
        <w:t xml:space="preserve"> (1764</w:t>
      </w:r>
      <w:r w:rsidR="00D72FC9" w:rsidRPr="00D72FC9">
        <w:rPr>
          <w:rFonts w:eastAsia="SabonCECV" w:cs="Arial"/>
          <w:sz w:val="22"/>
        </w:rPr>
        <w:t>-</w:t>
      </w:r>
      <w:r w:rsidRPr="00D72FC9">
        <w:rPr>
          <w:rFonts w:eastAsia="SabonCECV" w:cs="Arial"/>
          <w:sz w:val="22"/>
        </w:rPr>
        <w:t>1795), dem mit russischer Hilfe auf den Thron gebrachten letzten polnischen König, wurden zahlreiche Reformprojekte in Angriff genommen. Im Vordergrund stand dabei die Modernisierung von Armee, Wirtschaft, politischem System und Bildungswesen. Doch gingen diese Reformen zahlreichen Gruppen in Polen wie auch den Nachbarmächten bald zu weit. Sie schürten innenpolitische Konflikte und erzwangen 1768 eine teilweise Rücknahme der Beschlüsse. Gegen die offene russische Interessenpolitik erhob sich bald Widerstand, der einen Bürgerkrieg zur Folge hatte und die Lage in Polen aufs äußerste destabilisierte. Auf Anregung des preußischen Königs Friedrich II. wurde Polen im Jahr 1772 ein erstes</w:t>
      </w:r>
      <w:r w:rsidRPr="00D72FC9">
        <w:rPr>
          <w:rFonts w:cs="Arial"/>
          <w:sz w:val="22"/>
        </w:rPr>
        <w:t xml:space="preserve"> </w:t>
      </w:r>
      <w:r w:rsidRPr="00D72FC9">
        <w:rPr>
          <w:rFonts w:eastAsia="SabonCECV" w:cs="Arial"/>
          <w:sz w:val="22"/>
        </w:rPr>
        <w:t>Mal zwischen Russland, Österreich und Preußen geteilt und das Land musste 203 000 km² mit 4,5</w:t>
      </w:r>
      <w:r w:rsidR="00D72FC9" w:rsidRPr="00D72FC9">
        <w:rPr>
          <w:rFonts w:eastAsia="SabonCECV" w:cs="Arial"/>
          <w:sz w:val="22"/>
        </w:rPr>
        <w:t> </w:t>
      </w:r>
      <w:r w:rsidRPr="00D72FC9">
        <w:rPr>
          <w:rFonts w:eastAsia="SabonCECV" w:cs="Arial"/>
          <w:sz w:val="22"/>
        </w:rPr>
        <w:t>Millionen Einwohnern abtreten.</w:t>
      </w:r>
    </w:p>
    <w:p w:rsidR="00EA7FDE" w:rsidRPr="00D72FC9" w:rsidRDefault="004D0F78" w:rsidP="00063618">
      <w:pPr>
        <w:pStyle w:val="0berschrift3"/>
        <w:jc w:val="both"/>
        <w:rPr>
          <w:rFonts w:cs="Arial"/>
          <w:sz w:val="22"/>
        </w:rPr>
      </w:pPr>
      <w:r w:rsidRPr="00D72FC9">
        <w:rPr>
          <w:rFonts w:eastAsia="SabonCECV" w:cs="Arial"/>
          <w:b w:val="0"/>
          <w:sz w:val="22"/>
        </w:rPr>
        <w:t xml:space="preserve">Die Erste Teilung Polens schockierte die polnische Öffentlichkeit, weckte neue Reformkräfte und einte die verschiedenen Interessengruppen. Polen erhielt nun rasch beispielhafte Verwaltungs- und Bildungseinrichtungen. Weitere Reformen folgten. Der </w:t>
      </w:r>
      <w:r w:rsidR="00D72FC9" w:rsidRPr="00D72FC9">
        <w:rPr>
          <w:rFonts w:eastAsia="SabonCECV" w:cs="Arial"/>
          <w:b w:val="0"/>
          <w:sz w:val="22"/>
        </w:rPr>
        <w:t>„</w:t>
      </w:r>
      <w:r w:rsidRPr="00D72FC9">
        <w:rPr>
          <w:rFonts w:eastAsia="SabonCECV" w:cs="Arial"/>
          <w:b w:val="0"/>
          <w:sz w:val="22"/>
        </w:rPr>
        <w:t>Vierjährige Sejm</w:t>
      </w:r>
      <w:r w:rsidR="00D72FC9" w:rsidRPr="00D72FC9">
        <w:rPr>
          <w:rFonts w:eastAsia="SabonCECV" w:cs="Arial"/>
          <w:b w:val="0"/>
          <w:sz w:val="22"/>
        </w:rPr>
        <w:t>“</w:t>
      </w:r>
      <w:r w:rsidRPr="00D72FC9">
        <w:rPr>
          <w:rFonts w:eastAsia="SabonCECV" w:cs="Arial"/>
          <w:b w:val="0"/>
          <w:sz w:val="22"/>
        </w:rPr>
        <w:t xml:space="preserve"> (1788</w:t>
      </w:r>
      <w:r w:rsidR="00D72FC9" w:rsidRPr="00D72FC9">
        <w:rPr>
          <w:rFonts w:eastAsia="SabonCECV" w:cs="Arial"/>
          <w:b w:val="0"/>
          <w:sz w:val="22"/>
        </w:rPr>
        <w:t>-</w:t>
      </w:r>
      <w:r w:rsidRPr="00D72FC9">
        <w:rPr>
          <w:rFonts w:eastAsia="SabonCECV" w:cs="Arial"/>
          <w:b w:val="0"/>
          <w:sz w:val="22"/>
        </w:rPr>
        <w:t>1792) verabschiedete am 3.</w:t>
      </w:r>
      <w:r w:rsidR="00D72FC9" w:rsidRPr="00D72FC9">
        <w:rPr>
          <w:rFonts w:eastAsia="SabonCECV" w:cs="Arial"/>
          <w:b w:val="0"/>
          <w:sz w:val="22"/>
        </w:rPr>
        <w:t> </w:t>
      </w:r>
      <w:r w:rsidRPr="00D72FC9">
        <w:rPr>
          <w:rFonts w:eastAsia="SabonCECV" w:cs="Arial"/>
          <w:b w:val="0"/>
          <w:sz w:val="22"/>
        </w:rPr>
        <w:t xml:space="preserve">Mai 1791 die erste geschriebene Verfassung Europas, die u. a. die Abschaffung der freien Königswahl und des </w:t>
      </w:r>
      <w:r w:rsidR="00D72FC9" w:rsidRPr="00D72FC9">
        <w:rPr>
          <w:rFonts w:eastAsia="SabonCECV" w:cs="Arial"/>
          <w:b w:val="0"/>
          <w:sz w:val="22"/>
        </w:rPr>
        <w:t>„</w:t>
      </w:r>
      <w:proofErr w:type="spellStart"/>
      <w:r w:rsidRPr="00D72FC9">
        <w:rPr>
          <w:rFonts w:eastAsia="SabonCECV" w:cs="Arial"/>
          <w:b w:val="0"/>
          <w:sz w:val="22"/>
        </w:rPr>
        <w:t>Liberum</w:t>
      </w:r>
      <w:proofErr w:type="spellEnd"/>
      <w:r w:rsidRPr="00D72FC9">
        <w:rPr>
          <w:rFonts w:eastAsia="SabonCECV" w:cs="Arial"/>
          <w:b w:val="0"/>
          <w:sz w:val="22"/>
        </w:rPr>
        <w:t xml:space="preserve"> </w:t>
      </w:r>
      <w:proofErr w:type="spellStart"/>
      <w:r w:rsidRPr="00D72FC9">
        <w:rPr>
          <w:rFonts w:eastAsia="SabonCECV" w:cs="Arial"/>
          <w:b w:val="0"/>
          <w:sz w:val="22"/>
        </w:rPr>
        <w:t>veto</w:t>
      </w:r>
      <w:proofErr w:type="spellEnd"/>
      <w:r w:rsidR="00D72FC9" w:rsidRPr="00D72FC9">
        <w:rPr>
          <w:rFonts w:eastAsia="SabonCECV" w:cs="Arial"/>
          <w:b w:val="0"/>
          <w:sz w:val="22"/>
        </w:rPr>
        <w:t>“</w:t>
      </w:r>
      <w:r w:rsidRPr="00D72FC9">
        <w:rPr>
          <w:rFonts w:eastAsia="SabonCECV" w:cs="Arial"/>
          <w:b w:val="0"/>
          <w:sz w:val="22"/>
        </w:rPr>
        <w:t xml:space="preserve"> vorsah. Ein Teil des auf seine Vorrechte bedachten Adels widersetzte sich den Reformen. Mithilfe der russischen Zarin Katharina II. gelang es, die Reformpartei 1792 faktisch zur Zurücknahme der Mai-Verfassung zu zwingen. Russland ließ sich für seine Intervention – ebenso wie das wohlwollend neutrale Preußen – in der Zweiten Teilung Polens 1793 mit großen polnischen Gebieten honorieren (insgesamt verlor Polen ein Gebiet von 286 000 km² mit 3,5 Millionen Einwohnern). Ein von Tadeusz </w:t>
      </w:r>
      <w:proofErr w:type="spellStart"/>
      <w:r w:rsidRPr="00D72FC9">
        <w:rPr>
          <w:rFonts w:eastAsia="SabonCECV" w:cs="Arial"/>
          <w:b w:val="0"/>
          <w:sz w:val="22"/>
        </w:rPr>
        <w:t>Kościuszko</w:t>
      </w:r>
      <w:proofErr w:type="spellEnd"/>
      <w:r w:rsidRPr="00D72FC9">
        <w:rPr>
          <w:rFonts w:eastAsia="SabonCECV" w:cs="Arial"/>
          <w:b w:val="0"/>
          <w:sz w:val="22"/>
        </w:rPr>
        <w:t xml:space="preserve"> </w:t>
      </w:r>
      <w:r w:rsidR="00D72FC9" w:rsidRPr="00D72FC9">
        <w:rPr>
          <w:rFonts w:eastAsia="SabonCECV" w:cs="Arial"/>
          <w:b w:val="0"/>
          <w:sz w:val="22"/>
        </w:rPr>
        <w:t>{</w:t>
      </w:r>
      <w:proofErr w:type="spellStart"/>
      <w:r w:rsidRPr="00D72FC9">
        <w:rPr>
          <w:rFonts w:eastAsia="SabonCECV-Italic" w:cs="Arial"/>
          <w:b w:val="0"/>
          <w:i/>
          <w:sz w:val="22"/>
        </w:rPr>
        <w:t>tad</w:t>
      </w:r>
      <w:r w:rsidR="00090AF9" w:rsidRPr="00D72FC9">
        <w:rPr>
          <w:rFonts w:eastAsia="SabonCECV-Italic" w:cs="Arial"/>
          <w:b w:val="0"/>
          <w:i/>
          <w:sz w:val="22"/>
        </w:rPr>
        <w:t>ä</w:t>
      </w:r>
      <w:r w:rsidRPr="00D72FC9">
        <w:rPr>
          <w:rFonts w:eastAsia="SabonCECV-Italic" w:cs="Arial"/>
          <w:b w:val="0"/>
          <w:i/>
          <w:sz w:val="22"/>
        </w:rPr>
        <w:t>usch</w:t>
      </w:r>
      <w:proofErr w:type="spellEnd"/>
      <w:r w:rsidRPr="00D72FC9">
        <w:rPr>
          <w:rFonts w:eastAsia="SabonCECV-Italic" w:cs="Arial"/>
          <w:b w:val="0"/>
          <w:i/>
          <w:sz w:val="22"/>
        </w:rPr>
        <w:t xml:space="preserve"> </w:t>
      </w:r>
      <w:proofErr w:type="spellStart"/>
      <w:r w:rsidRPr="00D72FC9">
        <w:rPr>
          <w:rFonts w:eastAsia="SabonCECV-Italic" w:cs="Arial"/>
          <w:b w:val="0"/>
          <w:i/>
          <w:sz w:val="22"/>
        </w:rPr>
        <w:t>koschtschjuschko</w:t>
      </w:r>
      <w:proofErr w:type="spellEnd"/>
      <w:r w:rsidR="00D72FC9" w:rsidRPr="00D72FC9">
        <w:rPr>
          <w:rFonts w:eastAsia="SabonCECV-Italic" w:cs="Arial"/>
          <w:b w:val="0"/>
          <w:i/>
          <w:sz w:val="22"/>
        </w:rPr>
        <w:t>}</w:t>
      </w:r>
      <w:r w:rsidRPr="00D72FC9">
        <w:rPr>
          <w:rFonts w:eastAsia="SabonCECV" w:cs="Arial"/>
          <w:b w:val="0"/>
          <w:sz w:val="22"/>
        </w:rPr>
        <w:t xml:space="preserve"> geführter allgemeiner Volksaufstand gegen die erneute Teilung brach im Oktober 1794 zusammen. Das restliche Polen mit 240 000 km² und 3,5 Millionen Einwohnern verschwand nach der Dritten Teilung 1795 von der politischen Landkarte Europas. Der Verlust des eigenen Staates war für die polnischen Eliten ein Trauma, das die Nation</w:t>
      </w:r>
      <w:r w:rsidR="00090AF9" w:rsidRPr="00D72FC9">
        <w:rPr>
          <w:rFonts w:eastAsia="SabonCECV" w:cs="Arial"/>
          <w:b w:val="0"/>
          <w:sz w:val="22"/>
        </w:rPr>
        <w:t xml:space="preserve"> für</w:t>
      </w:r>
      <w:r w:rsidRPr="00D72FC9">
        <w:rPr>
          <w:rFonts w:eastAsia="SabonCECV" w:cs="Arial"/>
          <w:b w:val="0"/>
          <w:sz w:val="22"/>
        </w:rPr>
        <w:t xml:space="preserve"> das gesamte 19.</w:t>
      </w:r>
      <w:r w:rsidR="00D72FC9" w:rsidRPr="00D72FC9">
        <w:rPr>
          <w:rFonts w:eastAsia="SabonCECV" w:cs="Arial"/>
          <w:b w:val="0"/>
          <w:sz w:val="22"/>
        </w:rPr>
        <w:t> </w:t>
      </w:r>
      <w:r w:rsidRPr="00D72FC9">
        <w:rPr>
          <w:rFonts w:eastAsia="SabonCECV" w:cs="Arial"/>
          <w:b w:val="0"/>
          <w:sz w:val="22"/>
        </w:rPr>
        <w:t>Jahrhundert prägen sollte.</w:t>
      </w:r>
      <w:r w:rsidRPr="00D72FC9">
        <w:rPr>
          <w:rFonts w:cs="Arial"/>
          <w:sz w:val="22"/>
        </w:rPr>
        <w:t xml:space="preserve"> </w:t>
      </w:r>
    </w:p>
    <w:sectPr w:rsidR="00EA7FDE" w:rsidRPr="00D72FC9" w:rsidSect="0003613B">
      <w:headerReference w:type="even" r:id="rId10"/>
      <w:headerReference w:type="default" r:id="rId11"/>
      <w:footerReference w:type="even" r:id="rId12"/>
      <w:footerReference w:type="default" r:id="rId1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109" w:rsidRDefault="001D7109">
      <w:r>
        <w:separator/>
      </w:r>
    </w:p>
    <w:p w:rsidR="001D7109" w:rsidRDefault="001D7109"/>
    <w:p w:rsidR="001D7109" w:rsidRDefault="001D7109"/>
    <w:p w:rsidR="001D7109" w:rsidRDefault="001D7109"/>
    <w:p w:rsidR="001D7109" w:rsidRDefault="001D7109"/>
    <w:p w:rsidR="001D7109" w:rsidRDefault="001D7109"/>
    <w:p w:rsidR="001D7109" w:rsidRDefault="001D7109"/>
    <w:p w:rsidR="001D7109" w:rsidRDefault="001D7109"/>
  </w:endnote>
  <w:endnote w:type="continuationSeparator" w:id="0">
    <w:p w:rsidR="001D7109" w:rsidRDefault="001D7109">
      <w:r>
        <w:continuationSeparator/>
      </w:r>
    </w:p>
    <w:p w:rsidR="001D7109" w:rsidRDefault="001D7109"/>
    <w:p w:rsidR="001D7109" w:rsidRDefault="001D7109"/>
    <w:p w:rsidR="001D7109" w:rsidRDefault="001D7109"/>
    <w:p w:rsidR="001D7109" w:rsidRDefault="001D7109"/>
    <w:p w:rsidR="001D7109" w:rsidRDefault="001D7109"/>
    <w:p w:rsidR="001D7109" w:rsidRDefault="001D7109"/>
    <w:p w:rsidR="001D7109" w:rsidRDefault="001D7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SabonCECV-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9491D"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C7502F" w:rsidTr="00226FD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C7502F" w:rsidTr="00226FD6">
                  <w:trPr>
                    <w:trHeight w:val="132"/>
                  </w:trPr>
                  <w:tc>
                    <w:tcPr>
                      <w:tcW w:w="1919" w:type="dxa"/>
                    </w:tcPr>
                    <w:p w:rsidR="00C7502F" w:rsidRPr="00D442D6" w:rsidRDefault="00C7502F" w:rsidP="00226FD6">
                      <w:pPr>
                        <w:spacing w:after="0"/>
                        <w:rPr>
                          <w:rFonts w:ascii="Times New Roman" w:hAnsi="Times New Roman"/>
                          <w:sz w:val="16"/>
                          <w:szCs w:val="16"/>
                        </w:rPr>
                      </w:pPr>
                      <w:r>
                        <w:rPr>
                          <w:rFonts w:ascii="Times New Roman" w:hAnsi="Times New Roman"/>
                          <w:noProof/>
                          <w:sz w:val="16"/>
                          <w:szCs w:val="16"/>
                        </w:rPr>
                        <w:drawing>
                          <wp:inline distT="0" distB="0" distL="0" distR="0" wp14:anchorId="2F9F8465" wp14:editId="15A6DBB4">
                            <wp:extent cx="1238250" cy="533400"/>
                            <wp:effectExtent l="0" t="0" r="0" b="0"/>
                            <wp:docPr id="14" name="Grafik 14"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C7502F" w:rsidRPr="00D442D6" w:rsidRDefault="00C7502F" w:rsidP="00226FD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C7502F" w:rsidRPr="00D442D6" w:rsidRDefault="00C7502F" w:rsidP="00226FD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DD07AB">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DD07AB">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rsidR="00C7502F" w:rsidRPr="00D442D6" w:rsidRDefault="00C7502F" w:rsidP="00226FD6">
                <w:pPr>
                  <w:spacing w:after="0"/>
                  <w:rPr>
                    <w:rFonts w:ascii="Times New Roman" w:hAnsi="Times New Roman"/>
                    <w:sz w:val="16"/>
                    <w:szCs w:val="16"/>
                  </w:rPr>
                </w:pPr>
              </w:p>
            </w:tc>
            <w:tc>
              <w:tcPr>
                <w:tcW w:w="4519" w:type="dxa"/>
              </w:tcPr>
              <w:p w:rsidR="00C7502F" w:rsidRPr="00D442D6" w:rsidRDefault="00C7502F" w:rsidP="00226FD6">
                <w:pPr>
                  <w:pStyle w:val="RahmenFuzeile"/>
                  <w:jc w:val="center"/>
                  <w:rPr>
                    <w:rFonts w:ascii="Times New Roman" w:hAnsi="Times New Roman"/>
                    <w:szCs w:val="16"/>
                  </w:rPr>
                </w:pPr>
              </w:p>
            </w:tc>
            <w:tc>
              <w:tcPr>
                <w:tcW w:w="2861" w:type="dxa"/>
              </w:tcPr>
              <w:p w:rsidR="00C7502F" w:rsidRPr="00D442D6" w:rsidRDefault="00C7502F" w:rsidP="00226FD6">
                <w:pPr>
                  <w:pStyle w:val="RahmenFuzeile"/>
                  <w:jc w:val="right"/>
                  <w:rPr>
                    <w:rFonts w:ascii="Times New Roman" w:hAnsi="Times New Roman"/>
                    <w:szCs w:val="16"/>
                  </w:rPr>
                </w:pP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109" w:rsidRDefault="001D7109">
      <w:r>
        <w:separator/>
      </w:r>
    </w:p>
    <w:p w:rsidR="001D7109" w:rsidRDefault="001D7109"/>
    <w:p w:rsidR="001D7109" w:rsidRDefault="001D7109"/>
    <w:p w:rsidR="001D7109" w:rsidRDefault="001D7109"/>
    <w:p w:rsidR="001D7109" w:rsidRDefault="001D7109"/>
    <w:p w:rsidR="001D7109" w:rsidRDefault="001D7109"/>
    <w:p w:rsidR="001D7109" w:rsidRDefault="001D7109"/>
    <w:p w:rsidR="001D7109" w:rsidRDefault="001D7109"/>
  </w:footnote>
  <w:footnote w:type="continuationSeparator" w:id="0">
    <w:p w:rsidR="001D7109" w:rsidRDefault="001D7109">
      <w:r>
        <w:continuationSeparator/>
      </w:r>
    </w:p>
    <w:p w:rsidR="001D7109" w:rsidRDefault="001D7109"/>
    <w:p w:rsidR="001D7109" w:rsidRDefault="001D7109"/>
    <w:p w:rsidR="001D7109" w:rsidRDefault="001D7109"/>
    <w:p w:rsidR="001D7109" w:rsidRDefault="001D7109"/>
    <w:p w:rsidR="001D7109" w:rsidRDefault="001D7109"/>
    <w:p w:rsidR="001D7109" w:rsidRDefault="001D7109"/>
    <w:p w:rsidR="001D7109" w:rsidRDefault="001D71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845151" w:rsidP="001C3BE3">
          <w:pPr>
            <w:pStyle w:val="0berschrift4"/>
          </w:pPr>
          <w:r>
            <w:t>Die polnische Adelsrepublik</w:t>
          </w:r>
          <w:r w:rsidR="001C3BE3">
            <w:t xml:space="preserve"> – </w:t>
          </w:r>
          <w:r>
            <w:t xml:space="preserve"> V</w:t>
          </w:r>
          <w:r w:rsidR="004D0F78" w:rsidRPr="004D0F78">
            <w:t>om Goldenen Zeitalter zum Niedergang einer Großmacht (1569</w:t>
          </w:r>
          <w:r w:rsidR="00003426">
            <w:t>-</w:t>
          </w:r>
          <w:r w:rsidR="004D0F78" w:rsidRPr="004D0F78">
            <w:t>1795)</w:t>
          </w:r>
          <w:r w:rsidR="00A9660E">
            <w:rPr>
              <w:noProof/>
            </w:rPr>
            <mc:AlternateContent>
              <mc:Choice Requires="wps">
                <w:drawing>
                  <wp:anchor distT="0" distB="0" distL="114300" distR="114300" simplePos="0" relativeHeight="251659776" behindDoc="0" locked="0" layoutInCell="1" allowOverlap="1" wp14:anchorId="76EF3022" wp14:editId="51167D64">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0" type="#_x0000_t202" style="position:absolute;margin-left:-39.45pt;margin-top:-34.9pt;width:21.9pt;height:837.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p>
      </w:tc>
      <w:tc>
        <w:tcPr>
          <w:tcW w:w="2767" w:type="dxa"/>
          <w:gridSpan w:val="2"/>
        </w:tcPr>
        <w:p w:rsidR="009F6231" w:rsidRPr="00650060" w:rsidRDefault="004D0F78" w:rsidP="000B629A">
          <w:pPr>
            <w:pStyle w:val="0berschrift4"/>
            <w:jc w:val="center"/>
          </w:pPr>
          <w:r>
            <w:rPr>
              <w:b/>
            </w:rPr>
            <w:t>Geschichte</w:t>
          </w:r>
          <w:r w:rsidR="009F6231" w:rsidRPr="00650060">
            <w:rPr>
              <w:rStyle w:val="RahmenSymbol"/>
            </w:rPr>
            <w:t></w:t>
          </w:r>
        </w:p>
      </w:tc>
    </w:tr>
    <w:tr w:rsidR="00EE4AFB" w:rsidTr="0003613B">
      <w:trPr>
        <w:trHeight w:val="272"/>
      </w:trPr>
      <w:tc>
        <w:tcPr>
          <w:tcW w:w="8714" w:type="dxa"/>
          <w:gridSpan w:val="2"/>
        </w:tcPr>
        <w:p w:rsidR="00620DEC" w:rsidRPr="002833C2" w:rsidRDefault="002B4F3B" w:rsidP="0003613B">
          <w:pPr>
            <w:pStyle w:val="1Standardflietext"/>
            <w:tabs>
              <w:tab w:val="left" w:pos="2100"/>
            </w:tabs>
            <w:spacing w:after="0"/>
            <w:rPr>
              <w:i/>
            </w:rPr>
          </w:pPr>
          <w:r>
            <w:rPr>
              <w:i/>
            </w:rPr>
            <w:tab/>
          </w: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6"/>
  </w:num>
  <w:num w:numId="2">
    <w:abstractNumId w:val="31"/>
  </w:num>
  <w:num w:numId="3">
    <w:abstractNumId w:val="25"/>
  </w:num>
  <w:num w:numId="4">
    <w:abstractNumId w:val="34"/>
  </w:num>
  <w:num w:numId="5">
    <w:abstractNumId w:val="40"/>
  </w:num>
  <w:num w:numId="6">
    <w:abstractNumId w:val="28"/>
  </w:num>
  <w:num w:numId="7">
    <w:abstractNumId w:val="20"/>
  </w:num>
  <w:num w:numId="8">
    <w:abstractNumId w:val="41"/>
  </w:num>
  <w:num w:numId="9">
    <w:abstractNumId w:val="37"/>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6"/>
  </w:num>
  <w:num w:numId="24">
    <w:abstractNumId w:val="22"/>
  </w:num>
  <w:num w:numId="25">
    <w:abstractNumId w:val="23"/>
  </w:num>
  <w:num w:numId="26">
    <w:abstractNumId w:val="27"/>
  </w:num>
  <w:num w:numId="27">
    <w:abstractNumId w:val="35"/>
  </w:num>
  <w:num w:numId="28">
    <w:abstractNumId w:val="17"/>
  </w:num>
  <w:num w:numId="29">
    <w:abstractNumId w:val="33"/>
  </w:num>
  <w:num w:numId="30">
    <w:abstractNumId w:val="29"/>
  </w:num>
  <w:num w:numId="31">
    <w:abstractNumId w:val="39"/>
  </w:num>
  <w:num w:numId="32">
    <w:abstractNumId w:val="12"/>
  </w:num>
  <w:num w:numId="33">
    <w:abstractNumId w:val="30"/>
  </w:num>
  <w:num w:numId="34">
    <w:abstractNumId w:val="11"/>
  </w:num>
  <w:num w:numId="35">
    <w:abstractNumId w:val="14"/>
  </w:num>
  <w:num w:numId="36">
    <w:abstractNumId w:val="15"/>
  </w:num>
  <w:num w:numId="37">
    <w:abstractNumId w:val="32"/>
  </w:num>
  <w:num w:numId="38">
    <w:abstractNumId w:val="16"/>
  </w:num>
  <w:num w:numId="39">
    <w:abstractNumId w:val="21"/>
  </w:num>
  <w:num w:numId="40">
    <w:abstractNumId w:val="10"/>
  </w:num>
  <w:num w:numId="41">
    <w:abstractNumId w:val="19"/>
  </w:num>
  <w:num w:numId="42">
    <w:abstractNumId w:val="3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neip">
    <w15:presenceInfo w15:providerId="None" w15:userId="Kne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78"/>
    <w:rsid w:val="00003426"/>
    <w:rsid w:val="000036D7"/>
    <w:rsid w:val="00012FD5"/>
    <w:rsid w:val="00026C0A"/>
    <w:rsid w:val="00026FB6"/>
    <w:rsid w:val="000270EA"/>
    <w:rsid w:val="00035908"/>
    <w:rsid w:val="0003613B"/>
    <w:rsid w:val="00041780"/>
    <w:rsid w:val="000434CE"/>
    <w:rsid w:val="00045E27"/>
    <w:rsid w:val="000525AE"/>
    <w:rsid w:val="000564E4"/>
    <w:rsid w:val="0006254E"/>
    <w:rsid w:val="00062CB1"/>
    <w:rsid w:val="00063618"/>
    <w:rsid w:val="00063791"/>
    <w:rsid w:val="0006678C"/>
    <w:rsid w:val="00070934"/>
    <w:rsid w:val="000720FC"/>
    <w:rsid w:val="00076C38"/>
    <w:rsid w:val="000819A0"/>
    <w:rsid w:val="00090646"/>
    <w:rsid w:val="00090AF9"/>
    <w:rsid w:val="000922CE"/>
    <w:rsid w:val="00092C6C"/>
    <w:rsid w:val="00096B03"/>
    <w:rsid w:val="000A6685"/>
    <w:rsid w:val="000B629A"/>
    <w:rsid w:val="000C6C75"/>
    <w:rsid w:val="000E0DE3"/>
    <w:rsid w:val="000E27EF"/>
    <w:rsid w:val="000E3D24"/>
    <w:rsid w:val="000E528E"/>
    <w:rsid w:val="000F2509"/>
    <w:rsid w:val="000F50A8"/>
    <w:rsid w:val="000F7CB4"/>
    <w:rsid w:val="00104275"/>
    <w:rsid w:val="00107625"/>
    <w:rsid w:val="00114C43"/>
    <w:rsid w:val="00121293"/>
    <w:rsid w:val="00127484"/>
    <w:rsid w:val="00137907"/>
    <w:rsid w:val="0014005F"/>
    <w:rsid w:val="0014256E"/>
    <w:rsid w:val="00144E39"/>
    <w:rsid w:val="00146FFD"/>
    <w:rsid w:val="001506D1"/>
    <w:rsid w:val="00161CAE"/>
    <w:rsid w:val="001624A8"/>
    <w:rsid w:val="0016339B"/>
    <w:rsid w:val="0016430F"/>
    <w:rsid w:val="001674F1"/>
    <w:rsid w:val="00173E8F"/>
    <w:rsid w:val="0019103D"/>
    <w:rsid w:val="00195BC8"/>
    <w:rsid w:val="0019678C"/>
    <w:rsid w:val="001B3E83"/>
    <w:rsid w:val="001C3BE3"/>
    <w:rsid w:val="001D59F6"/>
    <w:rsid w:val="001D7109"/>
    <w:rsid w:val="001E07A0"/>
    <w:rsid w:val="001E1443"/>
    <w:rsid w:val="001E1C51"/>
    <w:rsid w:val="001E26DA"/>
    <w:rsid w:val="001E591A"/>
    <w:rsid w:val="001E6769"/>
    <w:rsid w:val="001F1FE7"/>
    <w:rsid w:val="001F367B"/>
    <w:rsid w:val="001F59B2"/>
    <w:rsid w:val="001F70F2"/>
    <w:rsid w:val="002017E5"/>
    <w:rsid w:val="0021125B"/>
    <w:rsid w:val="0021238E"/>
    <w:rsid w:val="00213F0A"/>
    <w:rsid w:val="002143E3"/>
    <w:rsid w:val="00215422"/>
    <w:rsid w:val="00231684"/>
    <w:rsid w:val="00231F30"/>
    <w:rsid w:val="002369BD"/>
    <w:rsid w:val="0024442C"/>
    <w:rsid w:val="00251BD7"/>
    <w:rsid w:val="00253B0C"/>
    <w:rsid w:val="002548C2"/>
    <w:rsid w:val="00255097"/>
    <w:rsid w:val="00257EB8"/>
    <w:rsid w:val="00261D70"/>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22E7A"/>
    <w:rsid w:val="0033586B"/>
    <w:rsid w:val="00340C99"/>
    <w:rsid w:val="0034341F"/>
    <w:rsid w:val="003524B3"/>
    <w:rsid w:val="00352A61"/>
    <w:rsid w:val="00355522"/>
    <w:rsid w:val="00356A49"/>
    <w:rsid w:val="00365669"/>
    <w:rsid w:val="003757C1"/>
    <w:rsid w:val="00376614"/>
    <w:rsid w:val="00383D1A"/>
    <w:rsid w:val="00383FB9"/>
    <w:rsid w:val="00386141"/>
    <w:rsid w:val="00387FBF"/>
    <w:rsid w:val="003A090D"/>
    <w:rsid w:val="003A5F2B"/>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CD"/>
    <w:rsid w:val="003E29FB"/>
    <w:rsid w:val="003E2E7F"/>
    <w:rsid w:val="003E4DD2"/>
    <w:rsid w:val="003E5059"/>
    <w:rsid w:val="003F19DC"/>
    <w:rsid w:val="003F21D9"/>
    <w:rsid w:val="003F2BAA"/>
    <w:rsid w:val="003F367E"/>
    <w:rsid w:val="00403829"/>
    <w:rsid w:val="00413E34"/>
    <w:rsid w:val="0042027D"/>
    <w:rsid w:val="0042038D"/>
    <w:rsid w:val="00421F52"/>
    <w:rsid w:val="00425D85"/>
    <w:rsid w:val="00425DEE"/>
    <w:rsid w:val="0043659F"/>
    <w:rsid w:val="00441489"/>
    <w:rsid w:val="00442223"/>
    <w:rsid w:val="0044301C"/>
    <w:rsid w:val="004430C0"/>
    <w:rsid w:val="00445003"/>
    <w:rsid w:val="00445E73"/>
    <w:rsid w:val="00450A3A"/>
    <w:rsid w:val="00451292"/>
    <w:rsid w:val="00454670"/>
    <w:rsid w:val="00460316"/>
    <w:rsid w:val="004613CD"/>
    <w:rsid w:val="004624C4"/>
    <w:rsid w:val="00463984"/>
    <w:rsid w:val="00464BA1"/>
    <w:rsid w:val="00466BA5"/>
    <w:rsid w:val="00473918"/>
    <w:rsid w:val="00474204"/>
    <w:rsid w:val="00477C69"/>
    <w:rsid w:val="00483EFD"/>
    <w:rsid w:val="00485666"/>
    <w:rsid w:val="0049242E"/>
    <w:rsid w:val="004950C9"/>
    <w:rsid w:val="00495876"/>
    <w:rsid w:val="00496EA9"/>
    <w:rsid w:val="004B02E4"/>
    <w:rsid w:val="004B2857"/>
    <w:rsid w:val="004B56B9"/>
    <w:rsid w:val="004B7716"/>
    <w:rsid w:val="004D0F78"/>
    <w:rsid w:val="004D1667"/>
    <w:rsid w:val="004D42E2"/>
    <w:rsid w:val="004D4E71"/>
    <w:rsid w:val="004E0620"/>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2156"/>
    <w:rsid w:val="00581561"/>
    <w:rsid w:val="0058213D"/>
    <w:rsid w:val="00587FD4"/>
    <w:rsid w:val="005919FE"/>
    <w:rsid w:val="0059450C"/>
    <w:rsid w:val="00595A31"/>
    <w:rsid w:val="00595E8F"/>
    <w:rsid w:val="005966FF"/>
    <w:rsid w:val="00596E61"/>
    <w:rsid w:val="005A0095"/>
    <w:rsid w:val="005A3093"/>
    <w:rsid w:val="005A4084"/>
    <w:rsid w:val="005B34B7"/>
    <w:rsid w:val="005B680F"/>
    <w:rsid w:val="005C34B3"/>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127F1"/>
    <w:rsid w:val="006132E0"/>
    <w:rsid w:val="00614716"/>
    <w:rsid w:val="006160D0"/>
    <w:rsid w:val="00620DEC"/>
    <w:rsid w:val="00621AF2"/>
    <w:rsid w:val="006233F1"/>
    <w:rsid w:val="00623DF5"/>
    <w:rsid w:val="00623E24"/>
    <w:rsid w:val="0062499F"/>
    <w:rsid w:val="00636857"/>
    <w:rsid w:val="006409B0"/>
    <w:rsid w:val="00645C86"/>
    <w:rsid w:val="00650060"/>
    <w:rsid w:val="00653220"/>
    <w:rsid w:val="006576C8"/>
    <w:rsid w:val="00657A78"/>
    <w:rsid w:val="00657B17"/>
    <w:rsid w:val="00662F5C"/>
    <w:rsid w:val="0066793F"/>
    <w:rsid w:val="00670EC9"/>
    <w:rsid w:val="00671796"/>
    <w:rsid w:val="006737A9"/>
    <w:rsid w:val="00685629"/>
    <w:rsid w:val="00687610"/>
    <w:rsid w:val="006902A7"/>
    <w:rsid w:val="006A29F4"/>
    <w:rsid w:val="006A336F"/>
    <w:rsid w:val="006A6EFC"/>
    <w:rsid w:val="006B0620"/>
    <w:rsid w:val="006B51AE"/>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40C2"/>
    <w:rsid w:val="007871BC"/>
    <w:rsid w:val="00793D4C"/>
    <w:rsid w:val="00797021"/>
    <w:rsid w:val="007A0DF3"/>
    <w:rsid w:val="007A293C"/>
    <w:rsid w:val="007A5025"/>
    <w:rsid w:val="007C2BCF"/>
    <w:rsid w:val="007D10DF"/>
    <w:rsid w:val="007D2A43"/>
    <w:rsid w:val="007D668D"/>
    <w:rsid w:val="007F1386"/>
    <w:rsid w:val="007F14F4"/>
    <w:rsid w:val="007F1F44"/>
    <w:rsid w:val="007F5A4A"/>
    <w:rsid w:val="008016A2"/>
    <w:rsid w:val="00811365"/>
    <w:rsid w:val="00815DD0"/>
    <w:rsid w:val="008161C1"/>
    <w:rsid w:val="00817D12"/>
    <w:rsid w:val="00820BEB"/>
    <w:rsid w:val="008228B5"/>
    <w:rsid w:val="008246EB"/>
    <w:rsid w:val="0082598C"/>
    <w:rsid w:val="00835FB5"/>
    <w:rsid w:val="008373A4"/>
    <w:rsid w:val="00842A0D"/>
    <w:rsid w:val="00845151"/>
    <w:rsid w:val="00845A23"/>
    <w:rsid w:val="00863AE2"/>
    <w:rsid w:val="008647FF"/>
    <w:rsid w:val="0086596D"/>
    <w:rsid w:val="0087090A"/>
    <w:rsid w:val="00870C90"/>
    <w:rsid w:val="008726D2"/>
    <w:rsid w:val="0087362D"/>
    <w:rsid w:val="008835DC"/>
    <w:rsid w:val="008849E7"/>
    <w:rsid w:val="00887A7D"/>
    <w:rsid w:val="00892F1C"/>
    <w:rsid w:val="008A2DF7"/>
    <w:rsid w:val="008B0642"/>
    <w:rsid w:val="008B389E"/>
    <w:rsid w:val="008B769E"/>
    <w:rsid w:val="008C277C"/>
    <w:rsid w:val="008C5935"/>
    <w:rsid w:val="008C77F4"/>
    <w:rsid w:val="008D08AA"/>
    <w:rsid w:val="008D3F4B"/>
    <w:rsid w:val="008D66C8"/>
    <w:rsid w:val="008F70EE"/>
    <w:rsid w:val="008F7926"/>
    <w:rsid w:val="0090325E"/>
    <w:rsid w:val="009067D5"/>
    <w:rsid w:val="00916304"/>
    <w:rsid w:val="00922FE0"/>
    <w:rsid w:val="009252A9"/>
    <w:rsid w:val="009252B7"/>
    <w:rsid w:val="00932B3F"/>
    <w:rsid w:val="00933B6C"/>
    <w:rsid w:val="00933E16"/>
    <w:rsid w:val="00934AB7"/>
    <w:rsid w:val="00935A77"/>
    <w:rsid w:val="009378BB"/>
    <w:rsid w:val="0094127F"/>
    <w:rsid w:val="0094147E"/>
    <w:rsid w:val="00946B15"/>
    <w:rsid w:val="00947D43"/>
    <w:rsid w:val="00956EF2"/>
    <w:rsid w:val="00963518"/>
    <w:rsid w:val="00971E69"/>
    <w:rsid w:val="00984AF4"/>
    <w:rsid w:val="00986517"/>
    <w:rsid w:val="0098656D"/>
    <w:rsid w:val="00990706"/>
    <w:rsid w:val="0099163E"/>
    <w:rsid w:val="0099491D"/>
    <w:rsid w:val="009A74FD"/>
    <w:rsid w:val="009B6B2E"/>
    <w:rsid w:val="009C28A4"/>
    <w:rsid w:val="009C2A3F"/>
    <w:rsid w:val="009C4B06"/>
    <w:rsid w:val="009C5612"/>
    <w:rsid w:val="009F6231"/>
    <w:rsid w:val="00A03E9F"/>
    <w:rsid w:val="00A119F8"/>
    <w:rsid w:val="00A137FE"/>
    <w:rsid w:val="00A211DC"/>
    <w:rsid w:val="00A323A3"/>
    <w:rsid w:val="00A353D8"/>
    <w:rsid w:val="00A36401"/>
    <w:rsid w:val="00A3688C"/>
    <w:rsid w:val="00A37CDA"/>
    <w:rsid w:val="00A47ED1"/>
    <w:rsid w:val="00A529A5"/>
    <w:rsid w:val="00A53B22"/>
    <w:rsid w:val="00A62797"/>
    <w:rsid w:val="00A644E6"/>
    <w:rsid w:val="00A6623D"/>
    <w:rsid w:val="00A74B28"/>
    <w:rsid w:val="00A85CF5"/>
    <w:rsid w:val="00A8770A"/>
    <w:rsid w:val="00A90E52"/>
    <w:rsid w:val="00A90E9F"/>
    <w:rsid w:val="00A9197C"/>
    <w:rsid w:val="00A9660E"/>
    <w:rsid w:val="00A971C7"/>
    <w:rsid w:val="00AA0139"/>
    <w:rsid w:val="00AA6038"/>
    <w:rsid w:val="00AB071B"/>
    <w:rsid w:val="00AB28F7"/>
    <w:rsid w:val="00AB3C2B"/>
    <w:rsid w:val="00AD66BF"/>
    <w:rsid w:val="00AD74AC"/>
    <w:rsid w:val="00AE4D7F"/>
    <w:rsid w:val="00AE6A78"/>
    <w:rsid w:val="00AF063F"/>
    <w:rsid w:val="00AF24A9"/>
    <w:rsid w:val="00AF5811"/>
    <w:rsid w:val="00AF7FCE"/>
    <w:rsid w:val="00B055ED"/>
    <w:rsid w:val="00B11CE5"/>
    <w:rsid w:val="00B15216"/>
    <w:rsid w:val="00B15460"/>
    <w:rsid w:val="00B31DAE"/>
    <w:rsid w:val="00B37CAF"/>
    <w:rsid w:val="00B40C33"/>
    <w:rsid w:val="00B4144D"/>
    <w:rsid w:val="00B47511"/>
    <w:rsid w:val="00B60BB9"/>
    <w:rsid w:val="00B642E2"/>
    <w:rsid w:val="00B64402"/>
    <w:rsid w:val="00B660BA"/>
    <w:rsid w:val="00B67879"/>
    <w:rsid w:val="00B85A00"/>
    <w:rsid w:val="00B86B2C"/>
    <w:rsid w:val="00B9069C"/>
    <w:rsid w:val="00B916B5"/>
    <w:rsid w:val="00B92B5A"/>
    <w:rsid w:val="00BA1ED5"/>
    <w:rsid w:val="00BA4F51"/>
    <w:rsid w:val="00BA533E"/>
    <w:rsid w:val="00BA6BC1"/>
    <w:rsid w:val="00BA70CB"/>
    <w:rsid w:val="00BA7C41"/>
    <w:rsid w:val="00BA7F97"/>
    <w:rsid w:val="00BB7E88"/>
    <w:rsid w:val="00BC30A2"/>
    <w:rsid w:val="00BC5692"/>
    <w:rsid w:val="00BD4A5A"/>
    <w:rsid w:val="00BD4B97"/>
    <w:rsid w:val="00BD77C4"/>
    <w:rsid w:val="00BE46B3"/>
    <w:rsid w:val="00BE6C78"/>
    <w:rsid w:val="00BF18B1"/>
    <w:rsid w:val="00BF71E9"/>
    <w:rsid w:val="00C02725"/>
    <w:rsid w:val="00C030FF"/>
    <w:rsid w:val="00C04AC4"/>
    <w:rsid w:val="00C06C7B"/>
    <w:rsid w:val="00C204B5"/>
    <w:rsid w:val="00C27DC9"/>
    <w:rsid w:val="00C33D11"/>
    <w:rsid w:val="00C404F9"/>
    <w:rsid w:val="00C40BEB"/>
    <w:rsid w:val="00C45274"/>
    <w:rsid w:val="00C5487D"/>
    <w:rsid w:val="00C562DE"/>
    <w:rsid w:val="00C60D24"/>
    <w:rsid w:val="00C6166A"/>
    <w:rsid w:val="00C67B21"/>
    <w:rsid w:val="00C71DFD"/>
    <w:rsid w:val="00C73F55"/>
    <w:rsid w:val="00C7502F"/>
    <w:rsid w:val="00C83EA2"/>
    <w:rsid w:val="00C84B50"/>
    <w:rsid w:val="00C87972"/>
    <w:rsid w:val="00C965A7"/>
    <w:rsid w:val="00CA1933"/>
    <w:rsid w:val="00CA2AB7"/>
    <w:rsid w:val="00CA5837"/>
    <w:rsid w:val="00CB4729"/>
    <w:rsid w:val="00CC3FFC"/>
    <w:rsid w:val="00CD1001"/>
    <w:rsid w:val="00CD5F8B"/>
    <w:rsid w:val="00CD678A"/>
    <w:rsid w:val="00CE0B7A"/>
    <w:rsid w:val="00CE1EAE"/>
    <w:rsid w:val="00CE39D8"/>
    <w:rsid w:val="00CF2DBE"/>
    <w:rsid w:val="00D0153F"/>
    <w:rsid w:val="00D030E9"/>
    <w:rsid w:val="00D0391B"/>
    <w:rsid w:val="00D05730"/>
    <w:rsid w:val="00D12F13"/>
    <w:rsid w:val="00D2266B"/>
    <w:rsid w:val="00D442D6"/>
    <w:rsid w:val="00D44D16"/>
    <w:rsid w:val="00D538D1"/>
    <w:rsid w:val="00D5478E"/>
    <w:rsid w:val="00D54E85"/>
    <w:rsid w:val="00D64EE3"/>
    <w:rsid w:val="00D66E0E"/>
    <w:rsid w:val="00D71861"/>
    <w:rsid w:val="00D72FC9"/>
    <w:rsid w:val="00D814C9"/>
    <w:rsid w:val="00D81D11"/>
    <w:rsid w:val="00D8274D"/>
    <w:rsid w:val="00D8537F"/>
    <w:rsid w:val="00D877A5"/>
    <w:rsid w:val="00D92B2B"/>
    <w:rsid w:val="00D94327"/>
    <w:rsid w:val="00D9640D"/>
    <w:rsid w:val="00D9642D"/>
    <w:rsid w:val="00DB12AA"/>
    <w:rsid w:val="00DB24EB"/>
    <w:rsid w:val="00DB26D4"/>
    <w:rsid w:val="00DB3AEC"/>
    <w:rsid w:val="00DC3001"/>
    <w:rsid w:val="00DD07AB"/>
    <w:rsid w:val="00DD2C73"/>
    <w:rsid w:val="00DD3B31"/>
    <w:rsid w:val="00DE1DFB"/>
    <w:rsid w:val="00DE47EC"/>
    <w:rsid w:val="00DE7CA4"/>
    <w:rsid w:val="00DF222A"/>
    <w:rsid w:val="00E02328"/>
    <w:rsid w:val="00E023D1"/>
    <w:rsid w:val="00E025DE"/>
    <w:rsid w:val="00E111A5"/>
    <w:rsid w:val="00E31945"/>
    <w:rsid w:val="00E31F9D"/>
    <w:rsid w:val="00E3413C"/>
    <w:rsid w:val="00E34EA8"/>
    <w:rsid w:val="00E3649D"/>
    <w:rsid w:val="00E3684A"/>
    <w:rsid w:val="00E377C8"/>
    <w:rsid w:val="00E4050F"/>
    <w:rsid w:val="00E44005"/>
    <w:rsid w:val="00E5065B"/>
    <w:rsid w:val="00E567E9"/>
    <w:rsid w:val="00E720AD"/>
    <w:rsid w:val="00E72C84"/>
    <w:rsid w:val="00E8035B"/>
    <w:rsid w:val="00E90A16"/>
    <w:rsid w:val="00E96370"/>
    <w:rsid w:val="00E976F1"/>
    <w:rsid w:val="00EA2D1D"/>
    <w:rsid w:val="00EA7FDE"/>
    <w:rsid w:val="00EB7DB2"/>
    <w:rsid w:val="00EC2A6E"/>
    <w:rsid w:val="00EC6126"/>
    <w:rsid w:val="00ED3765"/>
    <w:rsid w:val="00EE1668"/>
    <w:rsid w:val="00EE42D0"/>
    <w:rsid w:val="00EE4AFB"/>
    <w:rsid w:val="00EE58C3"/>
    <w:rsid w:val="00F00C39"/>
    <w:rsid w:val="00F05ADB"/>
    <w:rsid w:val="00F05F07"/>
    <w:rsid w:val="00F06460"/>
    <w:rsid w:val="00F169E8"/>
    <w:rsid w:val="00F17BD7"/>
    <w:rsid w:val="00F205F5"/>
    <w:rsid w:val="00F249C1"/>
    <w:rsid w:val="00F25174"/>
    <w:rsid w:val="00F2580A"/>
    <w:rsid w:val="00F27B0C"/>
    <w:rsid w:val="00F3227C"/>
    <w:rsid w:val="00F4346E"/>
    <w:rsid w:val="00F533A9"/>
    <w:rsid w:val="00F60DC7"/>
    <w:rsid w:val="00F801FA"/>
    <w:rsid w:val="00F8127B"/>
    <w:rsid w:val="00F86082"/>
    <w:rsid w:val="00F865B8"/>
    <w:rsid w:val="00F90B79"/>
    <w:rsid w:val="00F911EF"/>
    <w:rsid w:val="00F9248B"/>
    <w:rsid w:val="00F9656F"/>
    <w:rsid w:val="00FA41C3"/>
    <w:rsid w:val="00FA50C2"/>
    <w:rsid w:val="00FA6B15"/>
    <w:rsid w:val="00FB09B7"/>
    <w:rsid w:val="00FB144C"/>
    <w:rsid w:val="00FB23BF"/>
    <w:rsid w:val="00FB54BC"/>
    <w:rsid w:val="00FB5BE8"/>
    <w:rsid w:val="00FB6AB2"/>
    <w:rsid w:val="00FB7261"/>
    <w:rsid w:val="00FC41F7"/>
    <w:rsid w:val="00FC4E30"/>
    <w:rsid w:val="00FC6968"/>
    <w:rsid w:val="00FC71DC"/>
    <w:rsid w:val="00FD0935"/>
    <w:rsid w:val="00FD695E"/>
    <w:rsid w:val="00FD6DC3"/>
    <w:rsid w:val="00FE34B2"/>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D0F7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D0F7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80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52C30-D675-403A-AF09-C647ACDB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2</Pages>
  <Words>877</Words>
  <Characters>5530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6395</CharactersWithSpaces>
  <SharedDoc>false</SharedDoc>
  <HyperlinkBase>www.cornelsen.de/teachweb</HyperlinkBase>
  <HLinks>
    <vt:vector size="12" baseType="variant">
      <vt:variant>
        <vt:i4>4128798</vt:i4>
      </vt:variant>
      <vt:variant>
        <vt:i4>3</vt:i4>
      </vt:variant>
      <vt:variant>
        <vt:i4>0</vt:i4>
      </vt:variant>
      <vt:variant>
        <vt:i4>5</vt:i4>
      </vt:variant>
      <vt:variant>
        <vt:lpwstr>http://www.youtube.com/watch?v=VV4ku_ouSN0</vt:lpwstr>
      </vt:variant>
      <vt:variant>
        <vt:lpwstr/>
      </vt:variant>
      <vt:variant>
        <vt:i4>1966136</vt:i4>
      </vt:variant>
      <vt:variant>
        <vt:i4>0</vt:i4>
      </vt:variant>
      <vt:variant>
        <vt:i4>0</vt:i4>
      </vt:variant>
      <vt:variant>
        <vt:i4>5</vt:i4>
      </vt:variant>
      <vt:variant>
        <vt:lpwstr>http://www.deutsche-und-polen.de/ereignisse/ereignis_jsp/key=teilung_erste_1772.html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3</cp:revision>
  <cp:lastPrinted>2014-06-12T12:12:00Z</cp:lastPrinted>
  <dcterms:created xsi:type="dcterms:W3CDTF">2014-06-12T11:23:00Z</dcterms:created>
  <dcterms:modified xsi:type="dcterms:W3CDTF">2014-06-12T12:12:00Z</dcterms:modified>
  <cp:category>Aktualitätendienst Politik</cp:category>
</cp:coreProperties>
</file>