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78" w:rsidRPr="001C3BE3" w:rsidRDefault="00820BEB" w:rsidP="004D0F78">
      <w:pPr>
        <w:pStyle w:val="0berschrift3"/>
        <w:rPr>
          <w:rFonts w:cs="Arial"/>
          <w:b w:val="0"/>
          <w:i/>
          <w:sz w:val="24"/>
          <w:u w:val="single"/>
        </w:rPr>
      </w:pPr>
      <w:r w:rsidRPr="001C3BE3">
        <w:rPr>
          <w:rFonts w:cs="Arial"/>
          <w:b w:val="0"/>
          <w:i/>
          <w:sz w:val="24"/>
          <w:u w:val="single"/>
        </w:rPr>
        <w:t xml:space="preserve">Arbeitsblatt 5: </w:t>
      </w:r>
      <w:r w:rsidR="004D0F78" w:rsidRPr="001C3BE3">
        <w:rPr>
          <w:rFonts w:cs="Arial"/>
          <w:b w:val="0"/>
          <w:i/>
          <w:sz w:val="24"/>
          <w:u w:val="single"/>
        </w:rPr>
        <w:t xml:space="preserve">Begründungen der Teilungsmächte </w:t>
      </w:r>
    </w:p>
    <w:p w:rsidR="004D0F78" w:rsidRPr="00D72FC9" w:rsidRDefault="004D0F78" w:rsidP="004D0F78">
      <w:pPr>
        <w:autoSpaceDE w:val="0"/>
        <w:autoSpaceDN w:val="0"/>
        <w:adjustRightInd w:val="0"/>
        <w:spacing w:after="0" w:line="240" w:lineRule="auto"/>
        <w:rPr>
          <w:rFonts w:cs="Arial"/>
          <w:sz w:val="24"/>
          <w:lang w:eastAsia="en-US"/>
        </w:rPr>
      </w:pPr>
    </w:p>
    <w:p w:rsidR="004D0F78" w:rsidRPr="003757C1" w:rsidRDefault="004D0F78" w:rsidP="00820BEB">
      <w:pPr>
        <w:pStyle w:val="1Standardflietext"/>
        <w:jc w:val="both"/>
        <w:rPr>
          <w:rStyle w:val="1kursiv"/>
          <w:rFonts w:eastAsia="SabonCECV-Bold" w:cs="Arial"/>
          <w:sz w:val="22"/>
        </w:rPr>
      </w:pPr>
      <w:r w:rsidRPr="00D72FC9">
        <w:rPr>
          <w:rStyle w:val="1kursiv"/>
          <w:rFonts w:eastAsia="SabonCECV-Bold" w:cs="Arial"/>
          <w:sz w:val="22"/>
        </w:rPr>
        <w:t xml:space="preserve">Vergleichen Sie die Argumentationen </w:t>
      </w:r>
      <w:r w:rsidR="00090AF9" w:rsidRPr="00D72FC9">
        <w:rPr>
          <w:rStyle w:val="1kursiv"/>
          <w:rFonts w:eastAsia="SabonCECV-Bold" w:cs="Arial"/>
          <w:sz w:val="22"/>
        </w:rPr>
        <w:t xml:space="preserve">in den </w:t>
      </w:r>
      <w:r w:rsidRPr="00D72FC9">
        <w:rPr>
          <w:rStyle w:val="1kursiv"/>
          <w:rFonts w:eastAsia="SabonCECV-Bold" w:cs="Arial"/>
          <w:sz w:val="22"/>
        </w:rPr>
        <w:t>Stellungnahmen Russlands, Preußens und Österreichs zur Teilung Polens von 1772:</w:t>
      </w:r>
    </w:p>
    <w:p w:rsidR="004D0F78" w:rsidRPr="00D72FC9" w:rsidRDefault="004D0F78" w:rsidP="00820BEB">
      <w:pPr>
        <w:autoSpaceDE w:val="0"/>
        <w:autoSpaceDN w:val="0"/>
        <w:adjustRightInd w:val="0"/>
        <w:spacing w:after="0" w:line="240" w:lineRule="auto"/>
        <w:jc w:val="both"/>
        <w:rPr>
          <w:rFonts w:eastAsia="SabonCECV-Bold" w:cs="Arial"/>
          <w:b/>
          <w:bCs/>
          <w:sz w:val="28"/>
        </w:rPr>
      </w:pPr>
    </w:p>
    <w:p w:rsidR="004D0F78" w:rsidRPr="00D72FC9" w:rsidRDefault="004D0F78" w:rsidP="00820BEB">
      <w:pPr>
        <w:pStyle w:val="1Standardflietext"/>
        <w:jc w:val="both"/>
        <w:rPr>
          <w:rStyle w:val="1kursiv"/>
          <w:rFonts w:eastAsia="SabonCECV-Italic" w:cs="Arial"/>
          <w:b/>
          <w:sz w:val="22"/>
        </w:rPr>
      </w:pPr>
      <w:r w:rsidRPr="00D72FC9">
        <w:rPr>
          <w:rStyle w:val="1kursiv"/>
          <w:rFonts w:eastAsia="SabonCECV-Italic" w:cs="Arial"/>
          <w:b/>
          <w:sz w:val="22"/>
        </w:rPr>
        <w:t>a) Zarin Katharina II.</w:t>
      </w:r>
    </w:p>
    <w:p w:rsidR="004D0F78" w:rsidRPr="00D72FC9" w:rsidRDefault="004D0F78" w:rsidP="00820BEB">
      <w:pPr>
        <w:pStyle w:val="1Standardflietext"/>
        <w:jc w:val="both"/>
        <w:rPr>
          <w:rFonts w:eastAsia="SabonCECV" w:cs="Arial"/>
          <w:sz w:val="22"/>
        </w:rPr>
      </w:pPr>
      <w:r w:rsidRPr="00D72FC9">
        <w:rPr>
          <w:rFonts w:eastAsia="SabonCECV" w:cs="Arial"/>
          <w:sz w:val="22"/>
        </w:rPr>
        <w:t>In ihrem gemeinsamen Vorgehen gegen Polen haben sich die drei Höfe weniger von Eroberungslust leiten lassen als von großen und praktischen Gesichtspunkten. Sie wollten Ordnung und Ruhe, wie der Wohlstand und die Sicherheit ihrer eigenen Grenzen sie erforderten, in ein Land bringen, das oft genug Wirren, ja der Anarchie ausgesetzt war. Die so herbeigezwungene Teilung hat zu einer wohl abgewogenen Vergrößerung der drei Mächte geführt, der wahrhaft nobelsten und imposantesten Tat, die Europa mit einem solchen Unternehmen überhaupt geschenkt werden konnte.</w:t>
      </w:r>
    </w:p>
    <w:p w:rsidR="004D0F78" w:rsidRPr="00D72FC9" w:rsidRDefault="004D0F78" w:rsidP="00820BEB">
      <w:pPr>
        <w:pStyle w:val="1Standardflietext"/>
        <w:jc w:val="both"/>
        <w:rPr>
          <w:rStyle w:val="1kursiv"/>
          <w:rFonts w:eastAsia="SabonCECV-Italic" w:cs="Arial"/>
          <w:sz w:val="18"/>
          <w:szCs w:val="16"/>
        </w:rPr>
      </w:pPr>
      <w:r w:rsidRPr="00D72FC9">
        <w:rPr>
          <w:rStyle w:val="1kursiv"/>
          <w:rFonts w:eastAsia="SabonCECV-Italic" w:cs="Arial"/>
          <w:sz w:val="18"/>
          <w:szCs w:val="16"/>
        </w:rPr>
        <w:t xml:space="preserve">Aus einem Brief an Joseph II. von 1774. Gekürzt und ins Deutsche übersetzt nach dem französischen Originalbrief bei A. Ritter von </w:t>
      </w:r>
      <w:proofErr w:type="spellStart"/>
      <w:r w:rsidRPr="00D72FC9">
        <w:rPr>
          <w:rStyle w:val="1kursiv"/>
          <w:rFonts w:eastAsia="SabonCECV-Italic" w:cs="Arial"/>
          <w:sz w:val="18"/>
          <w:szCs w:val="16"/>
        </w:rPr>
        <w:t>Arneth</w:t>
      </w:r>
      <w:proofErr w:type="spellEnd"/>
      <w:r w:rsidRPr="00D72FC9">
        <w:rPr>
          <w:rStyle w:val="1kursiv"/>
          <w:rFonts w:eastAsia="SabonCECV-Italic" w:cs="Arial"/>
          <w:sz w:val="18"/>
          <w:szCs w:val="16"/>
        </w:rPr>
        <w:t xml:space="preserve"> (Hrsg.): Joseph II. und Katharina von Russland. Ihr Briefwechsel. Wien: Wilhelm Braumüller 1869, S. 3</w:t>
      </w:r>
      <w:r w:rsidR="00FE34B2" w:rsidRPr="00D72FC9">
        <w:rPr>
          <w:rStyle w:val="1kursiv"/>
          <w:rFonts w:eastAsia="SabonCECV-Italic" w:cs="Arial"/>
          <w:sz w:val="18"/>
          <w:szCs w:val="16"/>
        </w:rPr>
        <w:t>.</w:t>
      </w:r>
    </w:p>
    <w:p w:rsidR="004D0F78" w:rsidRPr="00D72FC9" w:rsidRDefault="004D0F78" w:rsidP="00820BEB">
      <w:pPr>
        <w:pStyle w:val="1Standardflietext"/>
        <w:jc w:val="both"/>
        <w:rPr>
          <w:rStyle w:val="1kursiv"/>
          <w:rFonts w:cs="Arial"/>
          <w:sz w:val="18"/>
          <w:szCs w:val="16"/>
        </w:rPr>
      </w:pPr>
    </w:p>
    <w:p w:rsidR="004D0F78" w:rsidRPr="00D72FC9" w:rsidRDefault="004D0F78" w:rsidP="00820BEB">
      <w:pPr>
        <w:pStyle w:val="1Standardflietext"/>
        <w:jc w:val="both"/>
        <w:rPr>
          <w:rStyle w:val="1kursiv"/>
          <w:rFonts w:eastAsia="SabonCECV-Italic" w:cs="Arial"/>
          <w:b/>
          <w:sz w:val="22"/>
        </w:rPr>
      </w:pPr>
      <w:r w:rsidRPr="00D72FC9">
        <w:rPr>
          <w:rStyle w:val="1kursiv"/>
          <w:rFonts w:eastAsia="SabonCECV-Italic" w:cs="Arial"/>
          <w:b/>
          <w:sz w:val="22"/>
        </w:rPr>
        <w:t>b) König Friedrich II.</w:t>
      </w:r>
    </w:p>
    <w:p w:rsidR="004D0F78" w:rsidRPr="00D72FC9" w:rsidRDefault="004D0F78" w:rsidP="00820BEB">
      <w:pPr>
        <w:pStyle w:val="1Standardflietext"/>
        <w:jc w:val="both"/>
        <w:rPr>
          <w:rFonts w:eastAsia="SabonCECV-Italic" w:cs="Arial"/>
          <w:sz w:val="22"/>
        </w:rPr>
      </w:pPr>
      <w:r w:rsidRPr="00D72FC9">
        <w:rPr>
          <w:rFonts w:eastAsia="SabonCECV" w:cs="Arial"/>
          <w:sz w:val="22"/>
        </w:rPr>
        <w:t>Es bedurfte des Zusammentreffens einzigartiger</w:t>
      </w:r>
      <w:r w:rsidRPr="00D72FC9">
        <w:rPr>
          <w:rFonts w:eastAsia="SabonCECV-Italic" w:cs="Arial"/>
          <w:sz w:val="22"/>
        </w:rPr>
        <w:t xml:space="preserve"> </w:t>
      </w:r>
      <w:r w:rsidRPr="00D72FC9">
        <w:rPr>
          <w:rFonts w:eastAsia="SabonCECV" w:cs="Arial"/>
          <w:sz w:val="22"/>
        </w:rPr>
        <w:t>Umstände, um diese Teilung herbeizuführen und</w:t>
      </w:r>
      <w:r w:rsidRPr="00D72FC9">
        <w:rPr>
          <w:rFonts w:eastAsia="SabonCECV-Italic" w:cs="Arial"/>
          <w:sz w:val="22"/>
        </w:rPr>
        <w:t xml:space="preserve"> </w:t>
      </w:r>
      <w:r w:rsidRPr="00D72FC9">
        <w:rPr>
          <w:rFonts w:eastAsia="SabonCECV" w:cs="Arial"/>
          <w:sz w:val="22"/>
        </w:rPr>
        <w:t>die Gemüter dafür zu gewinnen; sie musste erfolgen,</w:t>
      </w:r>
      <w:r w:rsidRPr="00D72FC9">
        <w:rPr>
          <w:rFonts w:eastAsia="SabonCECV-Italic" w:cs="Arial"/>
          <w:sz w:val="22"/>
        </w:rPr>
        <w:t xml:space="preserve"> </w:t>
      </w:r>
      <w:r w:rsidRPr="00D72FC9">
        <w:rPr>
          <w:rFonts w:eastAsia="SabonCECV" w:cs="Arial"/>
          <w:sz w:val="22"/>
        </w:rPr>
        <w:t>um einem allgemeinen Kriege vorzubeugen.</w:t>
      </w:r>
      <w:r w:rsidRPr="00D72FC9">
        <w:rPr>
          <w:rFonts w:eastAsia="SabonCECV-Italic" w:cs="Arial"/>
          <w:sz w:val="22"/>
        </w:rPr>
        <w:t xml:space="preserve"> </w:t>
      </w:r>
      <w:r w:rsidRPr="00D72FC9">
        <w:rPr>
          <w:rFonts w:eastAsia="SabonCECV" w:cs="Arial"/>
          <w:sz w:val="22"/>
        </w:rPr>
        <w:t>Man stand vor der Wahl, Russland im Laufe</w:t>
      </w:r>
      <w:r w:rsidRPr="00D72FC9">
        <w:rPr>
          <w:rFonts w:eastAsia="SabonCECV-Italic" w:cs="Arial"/>
          <w:sz w:val="22"/>
        </w:rPr>
        <w:t xml:space="preserve"> </w:t>
      </w:r>
      <w:r w:rsidRPr="00D72FC9">
        <w:rPr>
          <w:rFonts w:eastAsia="SabonCECV" w:cs="Arial"/>
          <w:sz w:val="22"/>
        </w:rPr>
        <w:t>seiner</w:t>
      </w:r>
      <w:r w:rsidRPr="00D72FC9">
        <w:rPr>
          <w:rFonts w:eastAsia="SabonCECV-Italic" w:cs="Arial"/>
          <w:sz w:val="22"/>
        </w:rPr>
        <w:t xml:space="preserve"> </w:t>
      </w:r>
      <w:r w:rsidRPr="00D72FC9">
        <w:rPr>
          <w:rFonts w:eastAsia="SabonCECV" w:cs="Arial"/>
          <w:sz w:val="22"/>
        </w:rPr>
        <w:t>gewaltigen Eroberungen aufzuhalten, oder,</w:t>
      </w:r>
      <w:r w:rsidRPr="00D72FC9">
        <w:rPr>
          <w:rFonts w:eastAsia="SabonCECV-Italic" w:cs="Arial"/>
          <w:sz w:val="22"/>
        </w:rPr>
        <w:t xml:space="preserve"> </w:t>
      </w:r>
      <w:r w:rsidRPr="00D72FC9">
        <w:rPr>
          <w:rFonts w:eastAsia="SabonCECV" w:cs="Arial"/>
          <w:sz w:val="22"/>
        </w:rPr>
        <w:t>was klüger war, daraus auf geschickte Weise</w:t>
      </w:r>
      <w:r w:rsidRPr="00D72FC9">
        <w:rPr>
          <w:rFonts w:eastAsia="SabonCECV-Italic" w:cs="Arial"/>
          <w:sz w:val="22"/>
        </w:rPr>
        <w:t xml:space="preserve"> </w:t>
      </w:r>
      <w:r w:rsidRPr="00D72FC9">
        <w:rPr>
          <w:rFonts w:eastAsia="SabonCECV" w:cs="Arial"/>
          <w:sz w:val="22"/>
        </w:rPr>
        <w:t>Nutzen</w:t>
      </w:r>
      <w:r w:rsidRPr="00D72FC9">
        <w:rPr>
          <w:rFonts w:eastAsia="SabonCECV-Italic" w:cs="Arial"/>
          <w:sz w:val="22"/>
        </w:rPr>
        <w:t xml:space="preserve"> </w:t>
      </w:r>
      <w:r w:rsidRPr="00D72FC9">
        <w:rPr>
          <w:rFonts w:eastAsia="SabonCECV" w:cs="Arial"/>
          <w:sz w:val="22"/>
        </w:rPr>
        <w:t>zu ziehen. […] Um das Gleichgewicht zwischen</w:t>
      </w:r>
      <w:r w:rsidRPr="00D72FC9">
        <w:rPr>
          <w:rFonts w:eastAsia="SabonCECV-Italic" w:cs="Arial"/>
          <w:sz w:val="22"/>
        </w:rPr>
        <w:t xml:space="preserve"> </w:t>
      </w:r>
      <w:r w:rsidRPr="00D72FC9">
        <w:rPr>
          <w:rFonts w:eastAsia="SabonCECV" w:cs="Arial"/>
          <w:sz w:val="22"/>
        </w:rPr>
        <w:t>den nordischen Mächten einigermaßen aufrechtzuerhalten,</w:t>
      </w:r>
      <w:r w:rsidRPr="00D72FC9">
        <w:rPr>
          <w:rFonts w:eastAsia="SabonCECV-Italic" w:cs="Arial"/>
          <w:sz w:val="22"/>
        </w:rPr>
        <w:t xml:space="preserve"> </w:t>
      </w:r>
      <w:r w:rsidRPr="00D72FC9">
        <w:rPr>
          <w:rFonts w:eastAsia="SabonCECV" w:cs="Arial"/>
          <w:sz w:val="22"/>
        </w:rPr>
        <w:t>musste sich der König [von Preußen]</w:t>
      </w:r>
      <w:r w:rsidRPr="00D72FC9">
        <w:rPr>
          <w:rFonts w:eastAsia="SabonCECV-Italic" w:cs="Arial"/>
          <w:sz w:val="22"/>
        </w:rPr>
        <w:t xml:space="preserve"> </w:t>
      </w:r>
      <w:r w:rsidRPr="00D72FC9">
        <w:rPr>
          <w:rFonts w:eastAsia="SabonCECV" w:cs="Arial"/>
          <w:sz w:val="22"/>
        </w:rPr>
        <w:t>an dieser Teilung notwendig beteiligen. […]</w:t>
      </w:r>
      <w:r w:rsidRPr="00D72FC9">
        <w:rPr>
          <w:rFonts w:eastAsia="SabonCECV-Italic" w:cs="Arial"/>
          <w:sz w:val="22"/>
        </w:rPr>
        <w:t xml:space="preserve"> </w:t>
      </w:r>
      <w:r w:rsidRPr="00D72FC9">
        <w:rPr>
          <w:rFonts w:eastAsia="SabonCECV" w:cs="Arial"/>
          <w:sz w:val="22"/>
        </w:rPr>
        <w:t>Er [Friedrich II.] ergriff also die Gelegenheit, die</w:t>
      </w:r>
      <w:r w:rsidRPr="00D72FC9">
        <w:rPr>
          <w:rFonts w:eastAsia="SabonCECV-Italic" w:cs="Arial"/>
          <w:sz w:val="22"/>
        </w:rPr>
        <w:t xml:space="preserve"> </w:t>
      </w:r>
      <w:r w:rsidRPr="00D72FC9">
        <w:rPr>
          <w:rFonts w:eastAsia="SabonCECV" w:cs="Arial"/>
          <w:sz w:val="22"/>
        </w:rPr>
        <w:t>sich darbot, beim Schopfe, und durch Verhandlungen</w:t>
      </w:r>
      <w:r w:rsidRPr="00D72FC9">
        <w:rPr>
          <w:rFonts w:eastAsia="SabonCECV-Italic" w:cs="Arial"/>
          <w:sz w:val="22"/>
        </w:rPr>
        <w:t xml:space="preserve"> </w:t>
      </w:r>
      <w:r w:rsidRPr="00D72FC9">
        <w:rPr>
          <w:rFonts w:eastAsia="SabonCECV" w:cs="Arial"/>
          <w:sz w:val="22"/>
        </w:rPr>
        <w:t>und Ränke gelang es ihm, seine Monarchie</w:t>
      </w:r>
      <w:r w:rsidRPr="00D72FC9">
        <w:rPr>
          <w:rFonts w:eastAsia="SabonCECV-Italic" w:cs="Arial"/>
          <w:sz w:val="22"/>
        </w:rPr>
        <w:t xml:space="preserve"> </w:t>
      </w:r>
      <w:r w:rsidRPr="00D72FC9">
        <w:rPr>
          <w:rFonts w:eastAsia="SabonCECV" w:cs="Arial"/>
          <w:sz w:val="22"/>
        </w:rPr>
        <w:t>durch die Einverleibung Westpreußens für ihre</w:t>
      </w:r>
      <w:r w:rsidRPr="00D72FC9">
        <w:rPr>
          <w:rFonts w:eastAsia="SabonCECV-Italic" w:cs="Arial"/>
          <w:sz w:val="22"/>
        </w:rPr>
        <w:t xml:space="preserve"> </w:t>
      </w:r>
      <w:r w:rsidRPr="00D72FC9">
        <w:rPr>
          <w:rFonts w:eastAsia="SabonCECV" w:cs="Arial"/>
          <w:sz w:val="22"/>
        </w:rPr>
        <w:t>früheren Verluste zu entschädigen. Diese Erwerbung</w:t>
      </w:r>
      <w:r w:rsidRPr="00D72FC9">
        <w:rPr>
          <w:rFonts w:eastAsia="SabonCECV-Italic" w:cs="Arial"/>
          <w:sz w:val="22"/>
        </w:rPr>
        <w:t xml:space="preserve"> </w:t>
      </w:r>
      <w:r w:rsidRPr="00D72FC9">
        <w:rPr>
          <w:rFonts w:eastAsia="SabonCECV" w:cs="Arial"/>
          <w:sz w:val="22"/>
        </w:rPr>
        <w:t>war eine der wichtigsten, die man machen</w:t>
      </w:r>
      <w:r w:rsidRPr="00D72FC9">
        <w:rPr>
          <w:rFonts w:eastAsia="SabonCECV-Italic" w:cs="Arial"/>
          <w:sz w:val="22"/>
        </w:rPr>
        <w:t xml:space="preserve"> </w:t>
      </w:r>
      <w:r w:rsidRPr="00D72FC9">
        <w:rPr>
          <w:rFonts w:eastAsia="SabonCECV" w:cs="Arial"/>
          <w:sz w:val="22"/>
        </w:rPr>
        <w:t>konnte. […]</w:t>
      </w:r>
    </w:p>
    <w:p w:rsidR="004D0F78" w:rsidRPr="00D72FC9" w:rsidRDefault="004D0F78" w:rsidP="00820BEB">
      <w:pPr>
        <w:pStyle w:val="1Standardflietext"/>
        <w:spacing w:after="0"/>
        <w:jc w:val="both"/>
        <w:rPr>
          <w:rFonts w:eastAsia="SabonCECV-Italic" w:cs="Arial"/>
          <w:i/>
          <w:sz w:val="18"/>
          <w:szCs w:val="16"/>
        </w:rPr>
      </w:pPr>
      <w:r w:rsidRPr="00D72FC9">
        <w:rPr>
          <w:rFonts w:eastAsia="SabonCECV-Italic" w:cs="Arial"/>
          <w:i/>
          <w:sz w:val="18"/>
          <w:szCs w:val="16"/>
        </w:rPr>
        <w:t xml:space="preserve">Aus: Gustav Berthold Volz (Hrsg.): Die Werke Friedrichs des Großen. Bd. V. Berlin: </w:t>
      </w:r>
      <w:proofErr w:type="spellStart"/>
      <w:r w:rsidRPr="00D72FC9">
        <w:rPr>
          <w:rFonts w:eastAsia="SabonCECV-Italic" w:cs="Arial"/>
          <w:i/>
          <w:sz w:val="18"/>
          <w:szCs w:val="16"/>
        </w:rPr>
        <w:t>Hobbing</w:t>
      </w:r>
      <w:proofErr w:type="spellEnd"/>
      <w:r w:rsidRPr="00D72FC9">
        <w:rPr>
          <w:rFonts w:eastAsia="SabonCECV-Italic" w:cs="Arial"/>
          <w:i/>
          <w:sz w:val="18"/>
          <w:szCs w:val="16"/>
        </w:rPr>
        <w:t xml:space="preserve"> 1913, S. 36</w:t>
      </w:r>
      <w:r w:rsidR="00FE34B2" w:rsidRPr="00D72FC9">
        <w:rPr>
          <w:rFonts w:eastAsia="SabonCECV-Italic" w:cs="Arial"/>
          <w:i/>
          <w:sz w:val="18"/>
          <w:szCs w:val="16"/>
        </w:rPr>
        <w:t>.</w:t>
      </w:r>
    </w:p>
    <w:p w:rsidR="004D0F78" w:rsidRPr="00D72FC9" w:rsidRDefault="004D0F78" w:rsidP="00820BEB">
      <w:pPr>
        <w:pStyle w:val="1Standardflietext"/>
        <w:jc w:val="both"/>
        <w:rPr>
          <w:rFonts w:cs="Arial"/>
          <w:sz w:val="22"/>
          <w:lang w:eastAsia="en-US"/>
        </w:rPr>
      </w:pPr>
    </w:p>
    <w:p w:rsidR="004D0F78" w:rsidRPr="00D72FC9" w:rsidRDefault="004D0F78" w:rsidP="00820BEB">
      <w:pPr>
        <w:pStyle w:val="1Standardflietext"/>
        <w:jc w:val="both"/>
        <w:rPr>
          <w:rStyle w:val="1kursiv"/>
          <w:rFonts w:eastAsia="SabonCECV-Italic" w:cs="Arial"/>
          <w:b/>
          <w:sz w:val="22"/>
        </w:rPr>
      </w:pPr>
      <w:r w:rsidRPr="00D72FC9">
        <w:rPr>
          <w:rStyle w:val="1kursiv"/>
          <w:rFonts w:eastAsia="SabonCECV-Italic" w:cs="Arial"/>
          <w:b/>
          <w:sz w:val="22"/>
        </w:rPr>
        <w:t>c) Kaiserin Maria Theresia, die die Ve</w:t>
      </w:r>
      <w:r w:rsidR="00FE34B2" w:rsidRPr="00D72FC9">
        <w:rPr>
          <w:rStyle w:val="1kursiv"/>
          <w:rFonts w:eastAsia="SabonCECV-Italic" w:cs="Arial"/>
          <w:b/>
          <w:sz w:val="22"/>
        </w:rPr>
        <w:t xml:space="preserve">rhandlungen über die </w:t>
      </w:r>
      <w:r w:rsidRPr="00D72FC9">
        <w:rPr>
          <w:rStyle w:val="1kursiv"/>
          <w:rFonts w:eastAsia="SabonCECV-Italic" w:cs="Arial"/>
          <w:b/>
          <w:sz w:val="22"/>
        </w:rPr>
        <w:t xml:space="preserve">Teilungen </w:t>
      </w:r>
      <w:r w:rsidR="00FE34B2" w:rsidRPr="00D72FC9">
        <w:rPr>
          <w:rStyle w:val="1kursiv"/>
          <w:rFonts w:eastAsia="SabonCECV-Italic" w:cs="Arial"/>
          <w:b/>
          <w:sz w:val="22"/>
        </w:rPr>
        <w:t xml:space="preserve">Polens </w:t>
      </w:r>
      <w:r w:rsidRPr="00D72FC9">
        <w:rPr>
          <w:rStyle w:val="1kursiv"/>
          <w:rFonts w:eastAsia="SabonCECV-Italic" w:cs="Arial"/>
          <w:b/>
          <w:sz w:val="22"/>
        </w:rPr>
        <w:t xml:space="preserve">ihrem Sohn und Mitregenten Joseph II. überlassen hatte </w:t>
      </w:r>
    </w:p>
    <w:p w:rsidR="004D0F78" w:rsidRPr="00D72FC9" w:rsidRDefault="004D0F78" w:rsidP="00820BEB">
      <w:pPr>
        <w:pStyle w:val="1Standardflietext"/>
        <w:jc w:val="both"/>
        <w:rPr>
          <w:rFonts w:eastAsia="SabonCECV-Italic" w:cs="Arial"/>
          <w:sz w:val="22"/>
        </w:rPr>
      </w:pPr>
      <w:r w:rsidRPr="00D72FC9">
        <w:rPr>
          <w:rFonts w:eastAsia="SabonCECV" w:cs="Arial"/>
          <w:sz w:val="22"/>
        </w:rPr>
        <w:t>Ich bekenne, dass es mich ein Opfer kostet, mich</w:t>
      </w:r>
      <w:r w:rsidRPr="00D72FC9">
        <w:rPr>
          <w:rFonts w:eastAsia="SabonCECV-Italic" w:cs="Arial"/>
          <w:sz w:val="22"/>
        </w:rPr>
        <w:t xml:space="preserve"> </w:t>
      </w:r>
      <w:r w:rsidRPr="00D72FC9">
        <w:rPr>
          <w:rFonts w:eastAsia="SabonCECV" w:cs="Arial"/>
          <w:sz w:val="22"/>
        </w:rPr>
        <w:t>über eine Sache zu entscheiden, von deren Gerechtigkeit</w:t>
      </w:r>
      <w:r w:rsidRPr="00D72FC9">
        <w:rPr>
          <w:rFonts w:eastAsia="SabonCECV-Italic" w:cs="Arial"/>
          <w:sz w:val="22"/>
        </w:rPr>
        <w:t xml:space="preserve"> </w:t>
      </w:r>
      <w:r w:rsidRPr="00D72FC9">
        <w:rPr>
          <w:rFonts w:eastAsia="SabonCECV" w:cs="Arial"/>
          <w:sz w:val="22"/>
        </w:rPr>
        <w:t>ich keineswegs versichert bin, selbst wenn</w:t>
      </w:r>
      <w:r w:rsidRPr="00D72FC9">
        <w:rPr>
          <w:rFonts w:eastAsia="SabonCECV-Italic" w:cs="Arial"/>
          <w:sz w:val="22"/>
        </w:rPr>
        <w:t xml:space="preserve"> </w:t>
      </w:r>
      <w:r w:rsidRPr="00D72FC9">
        <w:rPr>
          <w:rFonts w:eastAsia="SabonCECV" w:cs="Arial"/>
          <w:sz w:val="22"/>
        </w:rPr>
        <w:t>sie nutzbringend wäre. […] Ich begreife nicht die</w:t>
      </w:r>
      <w:r w:rsidRPr="00D72FC9">
        <w:rPr>
          <w:rFonts w:eastAsia="SabonCECV-Italic" w:cs="Arial"/>
          <w:sz w:val="22"/>
        </w:rPr>
        <w:t xml:space="preserve"> </w:t>
      </w:r>
      <w:r w:rsidRPr="00D72FC9">
        <w:rPr>
          <w:rFonts w:eastAsia="SabonCECV" w:cs="Arial"/>
          <w:sz w:val="22"/>
        </w:rPr>
        <w:t>Politik, welche erlaubt, dass, wenn zwei sich ihrer</w:t>
      </w:r>
      <w:r w:rsidRPr="00D72FC9">
        <w:rPr>
          <w:rFonts w:eastAsia="SabonCECV-Italic" w:cs="Arial"/>
          <w:sz w:val="22"/>
        </w:rPr>
        <w:t xml:space="preserve"> </w:t>
      </w:r>
      <w:r w:rsidRPr="00D72FC9">
        <w:rPr>
          <w:rFonts w:eastAsia="SabonCECV" w:cs="Arial"/>
          <w:sz w:val="22"/>
        </w:rPr>
        <w:t>Überlegenheit bedienen, um einen Unschuldigen</w:t>
      </w:r>
      <w:r w:rsidRPr="00D72FC9">
        <w:rPr>
          <w:rFonts w:eastAsia="SabonCECV-Italic" w:cs="Arial"/>
          <w:sz w:val="22"/>
        </w:rPr>
        <w:t xml:space="preserve"> </w:t>
      </w:r>
      <w:r w:rsidRPr="00D72FC9">
        <w:rPr>
          <w:rFonts w:eastAsia="SabonCECV" w:cs="Arial"/>
          <w:sz w:val="22"/>
        </w:rPr>
        <w:t>zu unterdrücken, der Dritte […] die gleiche Ungerechtigkeit</w:t>
      </w:r>
      <w:r w:rsidRPr="00D72FC9">
        <w:rPr>
          <w:rFonts w:eastAsia="SabonCECV-Italic" w:cs="Arial"/>
          <w:sz w:val="22"/>
        </w:rPr>
        <w:t xml:space="preserve"> </w:t>
      </w:r>
      <w:r w:rsidRPr="00D72FC9">
        <w:rPr>
          <w:rFonts w:eastAsia="SabonCECV" w:cs="Arial"/>
          <w:sz w:val="22"/>
        </w:rPr>
        <w:t>nachahmen und begehen kann und</w:t>
      </w:r>
      <w:r w:rsidRPr="00D72FC9">
        <w:rPr>
          <w:rFonts w:eastAsia="SabonCECV-Italic" w:cs="Arial"/>
          <w:sz w:val="22"/>
        </w:rPr>
        <w:t xml:space="preserve"> </w:t>
      </w:r>
      <w:r w:rsidRPr="00D72FC9">
        <w:rPr>
          <w:rFonts w:eastAsia="SabonCECV" w:cs="Arial"/>
          <w:sz w:val="22"/>
        </w:rPr>
        <w:t>soll; mir scheint dies vielmehr unhaltbar zu sein.</w:t>
      </w:r>
      <w:r w:rsidRPr="00D72FC9">
        <w:rPr>
          <w:rFonts w:eastAsia="SabonCECV-Italic" w:cs="Arial"/>
          <w:sz w:val="22"/>
        </w:rPr>
        <w:t xml:space="preserve"> </w:t>
      </w:r>
      <w:r w:rsidRPr="00D72FC9">
        <w:rPr>
          <w:rFonts w:eastAsia="SabonCECV" w:cs="Arial"/>
          <w:sz w:val="22"/>
        </w:rPr>
        <w:t>[…] Man beweise mir doch das Gegenteil; ich bin</w:t>
      </w:r>
      <w:r w:rsidRPr="00D72FC9">
        <w:rPr>
          <w:rFonts w:eastAsia="SabonCECV-Italic" w:cs="Arial"/>
          <w:sz w:val="22"/>
        </w:rPr>
        <w:t xml:space="preserve"> </w:t>
      </w:r>
      <w:r w:rsidRPr="00D72FC9">
        <w:rPr>
          <w:rFonts w:eastAsia="SabonCECV" w:cs="Arial"/>
          <w:sz w:val="22"/>
        </w:rPr>
        <w:t>bereit, mich zu unterwerfen: Sehnsüchtig wünsche</w:t>
      </w:r>
      <w:r w:rsidRPr="00D72FC9">
        <w:rPr>
          <w:rFonts w:eastAsia="SabonCECV-Italic" w:cs="Arial"/>
          <w:sz w:val="22"/>
        </w:rPr>
        <w:t xml:space="preserve"> </w:t>
      </w:r>
      <w:r w:rsidRPr="00D72FC9">
        <w:rPr>
          <w:rFonts w:eastAsia="SabonCECV" w:cs="Arial"/>
          <w:sz w:val="22"/>
        </w:rPr>
        <w:t>ich mich zu täuschen. […] Alles, was uns zufallen</w:t>
      </w:r>
      <w:r w:rsidRPr="00D72FC9">
        <w:rPr>
          <w:rFonts w:eastAsia="SabonCECV-Italic" w:cs="Arial"/>
          <w:sz w:val="22"/>
        </w:rPr>
        <w:t xml:space="preserve"> </w:t>
      </w:r>
      <w:r w:rsidRPr="00D72FC9">
        <w:rPr>
          <w:rFonts w:eastAsia="SabonCECV" w:cs="Arial"/>
          <w:sz w:val="22"/>
        </w:rPr>
        <w:t>könnte, wird an Größe und an Zweckmäßigkeit</w:t>
      </w:r>
      <w:r w:rsidRPr="00D72FC9">
        <w:rPr>
          <w:rFonts w:eastAsia="SabonCECV-Italic" w:cs="Arial"/>
          <w:sz w:val="22"/>
        </w:rPr>
        <w:t xml:space="preserve"> </w:t>
      </w:r>
      <w:r w:rsidRPr="00D72FC9">
        <w:rPr>
          <w:rFonts w:eastAsia="SabonCECV" w:cs="Arial"/>
          <w:sz w:val="22"/>
        </w:rPr>
        <w:t>niemals auch nur die Hälfte des Anteils der anderen</w:t>
      </w:r>
      <w:r w:rsidRPr="00D72FC9">
        <w:rPr>
          <w:rFonts w:eastAsia="SabonCECV-Italic" w:cs="Arial"/>
          <w:sz w:val="22"/>
        </w:rPr>
        <w:t xml:space="preserve"> </w:t>
      </w:r>
      <w:r w:rsidRPr="00D72FC9">
        <w:rPr>
          <w:rFonts w:eastAsia="SabonCECV" w:cs="Arial"/>
          <w:sz w:val="22"/>
        </w:rPr>
        <w:t>erreichen; man muss sich also nicht mehr dabei</w:t>
      </w:r>
      <w:r w:rsidRPr="00D72FC9">
        <w:rPr>
          <w:rFonts w:eastAsia="SabonCECV-Italic" w:cs="Arial"/>
          <w:sz w:val="22"/>
        </w:rPr>
        <w:t xml:space="preserve"> </w:t>
      </w:r>
      <w:r w:rsidRPr="00D72FC9">
        <w:rPr>
          <w:rFonts w:eastAsia="SabonCECV" w:cs="Arial"/>
          <w:sz w:val="22"/>
        </w:rPr>
        <w:t>aufhalten und sich nicht ködern lassen durch</w:t>
      </w:r>
      <w:r w:rsidRPr="00D72FC9">
        <w:rPr>
          <w:rFonts w:eastAsia="SabonCECV-Italic" w:cs="Arial"/>
          <w:sz w:val="22"/>
        </w:rPr>
        <w:t xml:space="preserve"> </w:t>
      </w:r>
      <w:r w:rsidRPr="00D72FC9">
        <w:rPr>
          <w:rFonts w:eastAsia="SabonCECV" w:cs="Arial"/>
          <w:sz w:val="22"/>
        </w:rPr>
        <w:t>eine ungleiche Teilung. […] Ich wage mich noch</w:t>
      </w:r>
      <w:r w:rsidRPr="00D72FC9">
        <w:rPr>
          <w:rFonts w:eastAsia="SabonCECV-Italic" w:cs="Arial"/>
          <w:sz w:val="22"/>
        </w:rPr>
        <w:t xml:space="preserve"> </w:t>
      </w:r>
      <w:r w:rsidRPr="00D72FC9">
        <w:rPr>
          <w:rFonts w:eastAsia="SabonCECV" w:cs="Arial"/>
          <w:sz w:val="22"/>
        </w:rPr>
        <w:t>weiter vor, indem ich sage, es ist nicht eine Handlung</w:t>
      </w:r>
      <w:r w:rsidRPr="00D72FC9">
        <w:rPr>
          <w:rFonts w:eastAsia="SabonCECV-Italic" w:cs="Arial"/>
          <w:sz w:val="22"/>
        </w:rPr>
        <w:t xml:space="preserve"> </w:t>
      </w:r>
      <w:r w:rsidRPr="00D72FC9">
        <w:rPr>
          <w:rFonts w:eastAsia="SabonCECV" w:cs="Arial"/>
          <w:sz w:val="22"/>
        </w:rPr>
        <w:t>der Großmut, sondern nur eine Wirkung</w:t>
      </w:r>
      <w:r w:rsidRPr="00D72FC9">
        <w:rPr>
          <w:rFonts w:eastAsia="SabonCECV-Italic" w:cs="Arial"/>
          <w:sz w:val="22"/>
        </w:rPr>
        <w:t xml:space="preserve"> </w:t>
      </w:r>
      <w:r w:rsidRPr="00D72FC9">
        <w:rPr>
          <w:rFonts w:eastAsia="SabonCECV" w:cs="Arial"/>
          <w:sz w:val="22"/>
        </w:rPr>
        <w:t>echter Grundsätze, niemand Unrecht zu tun. […]</w:t>
      </w:r>
      <w:r w:rsidRPr="00D72FC9">
        <w:rPr>
          <w:rFonts w:eastAsia="SabonCECV-Italic" w:cs="Arial"/>
          <w:sz w:val="22"/>
        </w:rPr>
        <w:t xml:space="preserve"> </w:t>
      </w:r>
      <w:r w:rsidRPr="00D72FC9">
        <w:rPr>
          <w:rFonts w:eastAsia="SabonCECV" w:cs="Arial"/>
          <w:sz w:val="22"/>
        </w:rPr>
        <w:t>Unsere Monarchie kann verzichten auf eine</w:t>
      </w:r>
      <w:r w:rsidRPr="00D72FC9">
        <w:rPr>
          <w:rFonts w:eastAsia="SabonCECV-Italic" w:cs="Arial"/>
          <w:sz w:val="22"/>
        </w:rPr>
        <w:t xml:space="preserve"> </w:t>
      </w:r>
      <w:r w:rsidRPr="00D72FC9">
        <w:rPr>
          <w:rFonts w:eastAsia="SabonCECV" w:cs="Arial"/>
          <w:sz w:val="22"/>
        </w:rPr>
        <w:t>Vergrößerung dieser Art. […] Trachten wir doch</w:t>
      </w:r>
      <w:r w:rsidRPr="00D72FC9">
        <w:rPr>
          <w:rFonts w:eastAsia="SabonCECV-Italic" w:cs="Arial"/>
          <w:sz w:val="22"/>
        </w:rPr>
        <w:t xml:space="preserve"> </w:t>
      </w:r>
      <w:r w:rsidRPr="00D72FC9">
        <w:rPr>
          <w:rFonts w:eastAsia="SabonCECV" w:cs="Arial"/>
          <w:sz w:val="22"/>
        </w:rPr>
        <w:t>lieber danach, die Begehren der anderen zu vermindern,</w:t>
      </w:r>
      <w:r w:rsidRPr="00D72FC9">
        <w:rPr>
          <w:rFonts w:eastAsia="SabonCECV-Italic" w:cs="Arial"/>
          <w:sz w:val="22"/>
        </w:rPr>
        <w:t xml:space="preserve"> </w:t>
      </w:r>
      <w:r w:rsidRPr="00D72FC9">
        <w:rPr>
          <w:rFonts w:eastAsia="SabonCECV" w:cs="Arial"/>
          <w:sz w:val="22"/>
        </w:rPr>
        <w:t>statt daran zu denken, mit ihnen auf so</w:t>
      </w:r>
      <w:r w:rsidRPr="00D72FC9">
        <w:rPr>
          <w:rFonts w:eastAsia="SabonCECV-Italic" w:cs="Arial"/>
          <w:sz w:val="22"/>
        </w:rPr>
        <w:t xml:space="preserve"> </w:t>
      </w:r>
      <w:r w:rsidRPr="00D72FC9">
        <w:rPr>
          <w:rFonts w:eastAsia="SabonCECV" w:cs="Arial"/>
          <w:sz w:val="22"/>
        </w:rPr>
        <w:t>ungleiche Bedingungen hin zu teilen. Suchen wir</w:t>
      </w:r>
      <w:r w:rsidRPr="00D72FC9">
        <w:rPr>
          <w:rFonts w:eastAsia="SabonCECV-Italic" w:cs="Arial"/>
          <w:sz w:val="22"/>
        </w:rPr>
        <w:t xml:space="preserve"> </w:t>
      </w:r>
      <w:r w:rsidRPr="00D72FC9">
        <w:rPr>
          <w:rFonts w:eastAsia="SabonCECV" w:cs="Arial"/>
          <w:sz w:val="22"/>
        </w:rPr>
        <w:t>eher für schwach als für unredlich zu gelten.</w:t>
      </w:r>
    </w:p>
    <w:p w:rsidR="004D0F78" w:rsidRPr="00D72FC9" w:rsidRDefault="004D0F78" w:rsidP="00820BEB">
      <w:pPr>
        <w:pStyle w:val="1Standardflietext"/>
        <w:spacing w:after="0"/>
        <w:jc w:val="both"/>
        <w:rPr>
          <w:rFonts w:eastAsia="SabonCECV-Italic" w:cs="Arial"/>
          <w:sz w:val="18"/>
          <w:szCs w:val="16"/>
        </w:rPr>
      </w:pPr>
      <w:r w:rsidRPr="00D72FC9">
        <w:rPr>
          <w:rFonts w:eastAsia="SabonCECV-Italic" w:cs="Arial"/>
          <w:sz w:val="18"/>
          <w:szCs w:val="16"/>
        </w:rPr>
        <w:t xml:space="preserve">Aus: Eberhard </w:t>
      </w:r>
      <w:proofErr w:type="spellStart"/>
      <w:r w:rsidRPr="00D72FC9">
        <w:rPr>
          <w:rFonts w:eastAsia="SabonCECV-Italic" w:cs="Arial"/>
          <w:sz w:val="18"/>
          <w:szCs w:val="16"/>
        </w:rPr>
        <w:t>Büssem</w:t>
      </w:r>
      <w:proofErr w:type="spellEnd"/>
      <w:r w:rsidRPr="00D72FC9">
        <w:rPr>
          <w:rFonts w:eastAsia="SabonCECV-Italic" w:cs="Arial"/>
          <w:sz w:val="18"/>
          <w:szCs w:val="16"/>
        </w:rPr>
        <w:t>, Michael Neher (Hrsg.): Arbeitsbuch Geschichte. Neuzeit</w:t>
      </w:r>
      <w:r w:rsidR="00FE34B2" w:rsidRPr="00D72FC9">
        <w:rPr>
          <w:rFonts w:eastAsia="SabonCECV-Italic" w:cs="Arial"/>
          <w:sz w:val="18"/>
          <w:szCs w:val="16"/>
        </w:rPr>
        <w:t xml:space="preserve">. 1. Quellen. München: </w:t>
      </w:r>
      <w:proofErr w:type="spellStart"/>
      <w:r w:rsidR="00FE34B2" w:rsidRPr="00D72FC9">
        <w:rPr>
          <w:rFonts w:eastAsia="SabonCECV-Italic" w:cs="Arial"/>
          <w:sz w:val="18"/>
          <w:szCs w:val="16"/>
        </w:rPr>
        <w:t>utb</w:t>
      </w:r>
      <w:proofErr w:type="spellEnd"/>
      <w:r w:rsidR="00FE34B2" w:rsidRPr="00D72FC9">
        <w:rPr>
          <w:rFonts w:eastAsia="SabonCECV-Italic" w:cs="Arial"/>
          <w:sz w:val="18"/>
          <w:szCs w:val="16"/>
        </w:rPr>
        <w:t xml:space="preserve"> 1977,</w:t>
      </w:r>
      <w:r w:rsidRPr="00D72FC9">
        <w:rPr>
          <w:rFonts w:eastAsia="SabonCECV-Italic" w:cs="Arial"/>
          <w:sz w:val="18"/>
          <w:szCs w:val="16"/>
        </w:rPr>
        <w:t xml:space="preserve"> S. 333 ff.</w:t>
      </w:r>
      <w:bookmarkStart w:id="0" w:name="_GoBack"/>
      <w:bookmarkEnd w:id="0"/>
    </w:p>
    <w:sectPr w:rsidR="004D0F78" w:rsidRPr="00D72FC9"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2A" w:rsidRDefault="003E722A">
      <w:r>
        <w:separator/>
      </w:r>
    </w:p>
    <w:p w:rsidR="003E722A" w:rsidRDefault="003E722A"/>
    <w:p w:rsidR="003E722A" w:rsidRDefault="003E722A"/>
    <w:p w:rsidR="003E722A" w:rsidRDefault="003E722A"/>
    <w:p w:rsidR="003E722A" w:rsidRDefault="003E722A"/>
    <w:p w:rsidR="003E722A" w:rsidRDefault="003E722A"/>
    <w:p w:rsidR="003E722A" w:rsidRDefault="003E722A"/>
    <w:p w:rsidR="003E722A" w:rsidRDefault="003E722A"/>
  </w:endnote>
  <w:endnote w:type="continuationSeparator" w:id="0">
    <w:p w:rsidR="003E722A" w:rsidRDefault="003E722A">
      <w:r>
        <w:continuationSeparator/>
      </w:r>
    </w:p>
    <w:p w:rsidR="003E722A" w:rsidRDefault="003E722A"/>
    <w:p w:rsidR="003E722A" w:rsidRDefault="003E722A"/>
    <w:p w:rsidR="003E722A" w:rsidRDefault="003E722A"/>
    <w:p w:rsidR="003E722A" w:rsidRDefault="003E722A"/>
    <w:p w:rsidR="003E722A" w:rsidRDefault="003E722A"/>
    <w:p w:rsidR="003E722A" w:rsidRDefault="003E722A"/>
    <w:p w:rsidR="003E722A" w:rsidRDefault="003E7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abonCECV-Bold">
    <w:altName w:val="MS Mincho"/>
    <w:panose1 w:val="00000000000000000000"/>
    <w:charset w:val="80"/>
    <w:family w:val="roman"/>
    <w:notTrueType/>
    <w:pitch w:val="default"/>
    <w:sig w:usb0="00000000" w:usb1="08070000" w:usb2="00000010" w:usb3="00000000" w:csb0="00020001" w:csb1="00000000"/>
  </w:font>
  <w:font w:name="SabonCECV-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4EE53FCC" wp14:editId="4BCD4B34">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5494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5494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2A" w:rsidRDefault="003E722A">
      <w:r>
        <w:separator/>
      </w:r>
    </w:p>
    <w:p w:rsidR="003E722A" w:rsidRDefault="003E722A"/>
    <w:p w:rsidR="003E722A" w:rsidRDefault="003E722A"/>
    <w:p w:rsidR="003E722A" w:rsidRDefault="003E722A"/>
    <w:p w:rsidR="003E722A" w:rsidRDefault="003E722A"/>
    <w:p w:rsidR="003E722A" w:rsidRDefault="003E722A"/>
    <w:p w:rsidR="003E722A" w:rsidRDefault="003E722A"/>
    <w:p w:rsidR="003E722A" w:rsidRDefault="003E722A"/>
  </w:footnote>
  <w:footnote w:type="continuationSeparator" w:id="0">
    <w:p w:rsidR="003E722A" w:rsidRDefault="003E722A">
      <w:r>
        <w:continuationSeparator/>
      </w:r>
    </w:p>
    <w:p w:rsidR="003E722A" w:rsidRDefault="003E722A"/>
    <w:p w:rsidR="003E722A" w:rsidRDefault="003E722A"/>
    <w:p w:rsidR="003E722A" w:rsidRDefault="003E722A"/>
    <w:p w:rsidR="003E722A" w:rsidRDefault="003E722A"/>
    <w:p w:rsidR="003E722A" w:rsidRDefault="003E722A"/>
    <w:p w:rsidR="003E722A" w:rsidRDefault="003E722A"/>
    <w:p w:rsidR="003E722A" w:rsidRDefault="003E72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845151" w:rsidP="001C3BE3">
          <w:pPr>
            <w:pStyle w:val="0berschrift4"/>
          </w:pPr>
          <w:r>
            <w:t>Die polnische Adelsrepublik</w:t>
          </w:r>
          <w:r w:rsidR="001C3BE3">
            <w:t xml:space="preserve"> – </w:t>
          </w:r>
          <w:r>
            <w:t xml:space="preserve"> V</w:t>
          </w:r>
          <w:r w:rsidR="004D0F78" w:rsidRPr="004D0F78">
            <w:t>om Goldenen Zeitalter zum Niedergang einer Großmacht (1569</w:t>
          </w:r>
          <w:r w:rsidR="00003426">
            <w:t>-</w:t>
          </w:r>
          <w:r w:rsidR="004D0F78" w:rsidRPr="004D0F78">
            <w:t>1795)</w:t>
          </w:r>
          <w:r w:rsidR="00A9660E">
            <w:rPr>
              <w:noProof/>
            </w:rPr>
            <mc:AlternateContent>
              <mc:Choice Requires="wps">
                <w:drawing>
                  <wp:anchor distT="0" distB="0" distL="114300" distR="114300" simplePos="0" relativeHeight="251659776" behindDoc="0" locked="0" layoutInCell="1" allowOverlap="1" wp14:anchorId="3EA3270B" wp14:editId="141D9B8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ip">
    <w15:presenceInfo w15:providerId="None" w15:userId="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6C75"/>
    <w:rsid w:val="000E0DE3"/>
    <w:rsid w:val="000E27EF"/>
    <w:rsid w:val="000E3D24"/>
    <w:rsid w:val="000E528E"/>
    <w:rsid w:val="000F2509"/>
    <w:rsid w:val="000F50A8"/>
    <w:rsid w:val="000F7CB4"/>
    <w:rsid w:val="00104275"/>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73E8F"/>
    <w:rsid w:val="0019103D"/>
    <w:rsid w:val="00195BC8"/>
    <w:rsid w:val="0019678C"/>
    <w:rsid w:val="001B3E83"/>
    <w:rsid w:val="001C3BE3"/>
    <w:rsid w:val="001D59F6"/>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757C1"/>
    <w:rsid w:val="00376614"/>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E722A"/>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769E"/>
    <w:rsid w:val="008C277C"/>
    <w:rsid w:val="008C5935"/>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6EF2"/>
    <w:rsid w:val="00963518"/>
    <w:rsid w:val="00971E69"/>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4949"/>
    <w:rsid w:val="00C562DE"/>
    <w:rsid w:val="00C60D24"/>
    <w:rsid w:val="00C6166A"/>
    <w:rsid w:val="00C67B21"/>
    <w:rsid w:val="00C71DFD"/>
    <w:rsid w:val="00C73F55"/>
    <w:rsid w:val="00C7502F"/>
    <w:rsid w:val="00C83EA2"/>
    <w:rsid w:val="00C84B50"/>
    <w:rsid w:val="00C87972"/>
    <w:rsid w:val="00C965A7"/>
    <w:rsid w:val="00CA1933"/>
    <w:rsid w:val="00CA2AB7"/>
    <w:rsid w:val="00CA5837"/>
    <w:rsid w:val="00CB4729"/>
    <w:rsid w:val="00CC3FFC"/>
    <w:rsid w:val="00CD1001"/>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3001"/>
    <w:rsid w:val="00DD2C73"/>
    <w:rsid w:val="00DD3B31"/>
    <w:rsid w:val="00DE1DFB"/>
    <w:rsid w:val="00DE7CA4"/>
    <w:rsid w:val="00DF222A"/>
    <w:rsid w:val="00E02328"/>
    <w:rsid w:val="00E023D1"/>
    <w:rsid w:val="00E025DE"/>
    <w:rsid w:val="00E111A5"/>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DD36-363C-4CA0-8E5A-7262815F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3413</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2014-06-03T15:42:00Z</cp:lastPrinted>
  <dcterms:created xsi:type="dcterms:W3CDTF">2014-06-12T11:27:00Z</dcterms:created>
  <dcterms:modified xsi:type="dcterms:W3CDTF">2014-06-12T11:27:00Z</dcterms:modified>
  <cp:category>Aktualitätendienst Politik</cp:category>
</cp:coreProperties>
</file>