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25" w:rsidRPr="00A96725" w:rsidRDefault="00EA47C4" w:rsidP="00A96725">
      <w:pPr>
        <w:pStyle w:val="0berschrift1"/>
        <w:rPr>
          <w:sz w:val="24"/>
        </w:rPr>
      </w:pPr>
      <w:r>
        <w:rPr>
          <w:sz w:val="24"/>
        </w:rPr>
        <w:t>Nation ohne Staat – Polen im 19. Jahrhundert</w:t>
      </w:r>
    </w:p>
    <w:p w:rsidR="00835A4E" w:rsidRDefault="00835A4E" w:rsidP="00835A4E">
      <w:pPr>
        <w:pStyle w:val="0berschrift2"/>
      </w:pPr>
      <w:r>
        <w:t>Kurzbeschreibung des Moduls</w:t>
      </w:r>
    </w:p>
    <w:p w:rsidR="0036304A" w:rsidRDefault="00EA47C4" w:rsidP="00A96725">
      <w:pPr>
        <w:pStyle w:val="1Standardflietext"/>
        <w:jc w:val="both"/>
      </w:pPr>
      <w:r>
        <w:t xml:space="preserve">Nach der dritten Teilung Polens 1795 durch Preußen, Russland und Österreich verschwand Polen als Staat für 123 Jahre von der politischen Landkarte Europas. Bis heute </w:t>
      </w:r>
      <w:r w:rsidR="00F31AA5">
        <w:t>wirkt</w:t>
      </w:r>
      <w:r w:rsidR="00DC2875">
        <w:t xml:space="preserve"> </w:t>
      </w:r>
      <w:r>
        <w:t xml:space="preserve">diese Zeit der Teilungen </w:t>
      </w:r>
      <w:r w:rsidR="00F31AA5">
        <w:t xml:space="preserve">in </w:t>
      </w:r>
      <w:r>
        <w:t>Polen als Trauma</w:t>
      </w:r>
      <w:r w:rsidR="00F31AA5">
        <w:t xml:space="preserve"> nach</w:t>
      </w:r>
      <w:r>
        <w:t xml:space="preserve">. Wie kann eine Nation </w:t>
      </w:r>
      <w:r w:rsidR="00F31AA5">
        <w:t xml:space="preserve">ohne eigenen Staat </w:t>
      </w:r>
      <w:r>
        <w:t>überleben?</w:t>
      </w:r>
    </w:p>
    <w:p w:rsidR="0012426C" w:rsidRDefault="00EA47C4" w:rsidP="00A96725">
      <w:pPr>
        <w:pStyle w:val="1Standardflietext"/>
        <w:jc w:val="both"/>
      </w:pPr>
      <w:r>
        <w:t xml:space="preserve">Das folgende Modul </w:t>
      </w:r>
      <w:r w:rsidR="0012426C">
        <w:t xml:space="preserve">soll den </w:t>
      </w:r>
      <w:proofErr w:type="spellStart"/>
      <w:r w:rsidR="0012426C">
        <w:t>Schüler</w:t>
      </w:r>
      <w:r w:rsidR="00F31AA5">
        <w:t>Inne</w:t>
      </w:r>
      <w:r w:rsidR="0012426C">
        <w:t>n</w:t>
      </w:r>
      <w:proofErr w:type="spellEnd"/>
      <w:r w:rsidR="0012426C">
        <w:t xml:space="preserve"> einen Überblick über die wichtigsten Berührungspunkte deutscher und polnischer Geschichte im 19.</w:t>
      </w:r>
      <w:r w:rsidR="00F31AA5">
        <w:t> </w:t>
      </w:r>
      <w:r w:rsidR="0012426C">
        <w:t xml:space="preserve">Jahrhundert vermitteln. Ein Schwerpunkt liegt auf dem Verständnis und der Fähigkeit, die </w:t>
      </w:r>
      <w:r w:rsidR="00F32FAB">
        <w:t xml:space="preserve">kurzzeitige </w:t>
      </w:r>
      <w:r w:rsidR="007E7428">
        <w:t xml:space="preserve">Polenbegeisterung </w:t>
      </w:r>
      <w:r w:rsidR="0012426C">
        <w:t xml:space="preserve">in Deutschland, insbesondere auch </w:t>
      </w:r>
      <w:r w:rsidR="007E7428">
        <w:t xml:space="preserve">auf dem </w:t>
      </w:r>
      <w:r w:rsidR="00754CDB">
        <w:t>Hambacher Fest 1832</w:t>
      </w:r>
      <w:r w:rsidR="0012426C">
        <w:t xml:space="preserve">, in den historischen Kontext setzen zu können. Gleiches gilt für die Zunahme nationaler Tendenzen im Frankfurter </w:t>
      </w:r>
      <w:proofErr w:type="spellStart"/>
      <w:r w:rsidR="0012426C">
        <w:t>Paulskirchenparlament</w:t>
      </w:r>
      <w:proofErr w:type="spellEnd"/>
      <w:r w:rsidR="0012426C">
        <w:t xml:space="preserve"> (1848) und die damit einhergehende Ablehnung der polnischen Freiheitsbewegung.</w:t>
      </w:r>
    </w:p>
    <w:p w:rsidR="00EA47C4" w:rsidRDefault="00754CDB" w:rsidP="00A96725">
      <w:pPr>
        <w:pStyle w:val="1Standardflietext"/>
        <w:jc w:val="both"/>
      </w:pPr>
      <w:r>
        <w:t>Auch</w:t>
      </w:r>
      <w:r w:rsidR="00C44527">
        <w:t xml:space="preserve"> werden</w:t>
      </w:r>
      <w:r>
        <w:t xml:space="preserve"> die </w:t>
      </w:r>
      <w:r w:rsidR="00C44527">
        <w:t xml:space="preserve">Wichtigkeit </w:t>
      </w:r>
      <w:r>
        <w:t xml:space="preserve">der </w:t>
      </w:r>
      <w:r w:rsidR="00F32FAB">
        <w:t xml:space="preserve">katholischen Kirche </w:t>
      </w:r>
      <w:r>
        <w:t>sowie die Bedeutung der in diesem Zeitraum</w:t>
      </w:r>
      <w:r w:rsidR="00C44527">
        <w:t xml:space="preserve"> </w:t>
      </w:r>
      <w:r w:rsidR="00F32FAB">
        <w:t xml:space="preserve">unter den Bedingungen </w:t>
      </w:r>
      <w:r>
        <w:t xml:space="preserve">der Zensur </w:t>
      </w:r>
      <w:r w:rsidR="00C44527">
        <w:t xml:space="preserve">entstandenen Literatur </w:t>
      </w:r>
      <w:r>
        <w:t>für das polnische Nationalbewusstsein thematisiert.</w:t>
      </w:r>
    </w:p>
    <w:p w:rsidR="00EA47C4" w:rsidRDefault="00EA47C4" w:rsidP="00835A4E">
      <w:pPr>
        <w:pStyle w:val="1Standardflietext"/>
      </w:pPr>
    </w:p>
    <w:p w:rsidR="00835A4E" w:rsidRPr="001E7A2C" w:rsidRDefault="00835A4E" w:rsidP="00835A4E">
      <w:pPr>
        <w:spacing w:after="240" w:line="240" w:lineRule="exact"/>
        <w:rPr>
          <w:sz w:val="22"/>
          <w:szCs w:val="20"/>
          <w:u w:val="single"/>
        </w:rPr>
      </w:pPr>
      <w:r w:rsidRPr="001E7A2C">
        <w:rPr>
          <w:sz w:val="22"/>
          <w:szCs w:val="20"/>
          <w:u w:val="single"/>
        </w:rPr>
        <w:t>Das Modul enthält</w:t>
      </w:r>
    </w:p>
    <w:p w:rsidR="00835A4E" w:rsidRDefault="00835A4E" w:rsidP="00A7798C">
      <w:pPr>
        <w:pStyle w:val="2Listeeingerckt"/>
      </w:pPr>
      <w:r>
        <w:t>e</w:t>
      </w:r>
      <w:r w:rsidRPr="001E7A2C">
        <w:t xml:space="preserve">ine </w:t>
      </w:r>
      <w:r w:rsidRPr="00A7798C">
        <w:rPr>
          <w:b/>
        </w:rPr>
        <w:t>didaktische Einführung</w:t>
      </w:r>
      <w:r w:rsidRPr="001E7A2C">
        <w:t xml:space="preserve"> zum Thema</w:t>
      </w:r>
    </w:p>
    <w:p w:rsidR="00835A4E" w:rsidRPr="00A7798C" w:rsidRDefault="00835A4E" w:rsidP="00A7798C">
      <w:pPr>
        <w:pStyle w:val="2Listeeingerckt"/>
        <w:rPr>
          <w:b/>
        </w:rPr>
      </w:pPr>
      <w:r w:rsidRPr="001E7A2C">
        <w:t xml:space="preserve">Hinweise zu </w:t>
      </w:r>
      <w:r w:rsidRPr="00A7798C">
        <w:rPr>
          <w:b/>
        </w:rPr>
        <w:t xml:space="preserve">Referatsthemen, weiterführender Literatur </w:t>
      </w:r>
      <w:r w:rsidRPr="00A7798C">
        <w:t xml:space="preserve">sowie </w:t>
      </w:r>
      <w:r w:rsidRPr="00A7798C">
        <w:rPr>
          <w:b/>
        </w:rPr>
        <w:t>Links</w:t>
      </w:r>
    </w:p>
    <w:p w:rsidR="00835A4E" w:rsidRPr="00A7798C" w:rsidRDefault="00835A4E" w:rsidP="00A7798C">
      <w:pPr>
        <w:pStyle w:val="2Listeeingerckt"/>
        <w:rPr>
          <w:b/>
        </w:rPr>
      </w:pPr>
      <w:r w:rsidRPr="00CE104A">
        <w:t xml:space="preserve">einen </w:t>
      </w:r>
      <w:r w:rsidRPr="00A7798C">
        <w:rPr>
          <w:b/>
        </w:rPr>
        <w:t>Einführungstext</w:t>
      </w:r>
    </w:p>
    <w:p w:rsidR="00835A4E" w:rsidRDefault="00835A4E" w:rsidP="00A7798C">
      <w:pPr>
        <w:pStyle w:val="2Listeeingerckt"/>
      </w:pPr>
      <w:r w:rsidRPr="00A7798C">
        <w:rPr>
          <w:b/>
        </w:rPr>
        <w:t>Arbeitsblatt 1:</w:t>
      </w:r>
      <w:r w:rsidRPr="004C7342">
        <w:t xml:space="preserve"> </w:t>
      </w:r>
      <w:r w:rsidR="00B47A45">
        <w:t>Die Chronologie der Teilungszeit (1795-1918)</w:t>
      </w:r>
    </w:p>
    <w:p w:rsidR="00835A4E" w:rsidRPr="004C7342" w:rsidRDefault="00835A4E" w:rsidP="00A7798C">
      <w:pPr>
        <w:pStyle w:val="2Listeeingerckt"/>
      </w:pPr>
      <w:r w:rsidRPr="00A7798C">
        <w:rPr>
          <w:b/>
        </w:rPr>
        <w:t>Arbeitsblatt 2:</w:t>
      </w:r>
      <w:r>
        <w:t xml:space="preserve"> </w:t>
      </w:r>
      <w:r w:rsidR="00FF2D8D" w:rsidRPr="00FF2D8D">
        <w:t>Der Empfang polnischer Emigranten in Deutschland</w:t>
      </w:r>
    </w:p>
    <w:p w:rsidR="00835A4E" w:rsidRDefault="00835A4E" w:rsidP="00A7798C">
      <w:pPr>
        <w:pStyle w:val="2Listeeingerckt"/>
      </w:pPr>
      <w:r w:rsidRPr="00A7798C">
        <w:rPr>
          <w:b/>
        </w:rPr>
        <w:t>Arbeitsblatt 3:</w:t>
      </w:r>
      <w:r w:rsidRPr="00CE104A">
        <w:t xml:space="preserve"> </w:t>
      </w:r>
      <w:r w:rsidR="00FF2D8D">
        <w:t>Stellungnahmen zur Polenfrage 1848</w:t>
      </w:r>
    </w:p>
    <w:p w:rsidR="0012426C" w:rsidRDefault="003E1A1B" w:rsidP="00A7798C">
      <w:pPr>
        <w:pStyle w:val="2Listeeingerckt"/>
        <w:rPr>
          <w:szCs w:val="22"/>
        </w:rPr>
      </w:pPr>
      <w:r w:rsidRPr="003E1A1B">
        <w:rPr>
          <w:b/>
          <w:szCs w:val="22"/>
        </w:rPr>
        <w:t>Arbeitsblatt 4:</w:t>
      </w:r>
      <w:r w:rsidRPr="003E1A1B">
        <w:rPr>
          <w:szCs w:val="22"/>
        </w:rPr>
        <w:t xml:space="preserve"> Die Polenpolitik des deutschen Kaiserreichs</w:t>
      </w:r>
    </w:p>
    <w:p w:rsidR="00EE49A6" w:rsidRPr="003E1A1B" w:rsidRDefault="00EE49A6" w:rsidP="00A7798C">
      <w:pPr>
        <w:pStyle w:val="2Listeeingerckt"/>
        <w:rPr>
          <w:szCs w:val="22"/>
        </w:rPr>
      </w:pPr>
      <w:r>
        <w:rPr>
          <w:b/>
          <w:szCs w:val="22"/>
        </w:rPr>
        <w:t>Arbeitsblatt 5:</w:t>
      </w:r>
      <w:r>
        <w:rPr>
          <w:szCs w:val="22"/>
        </w:rPr>
        <w:t xml:space="preserve"> Nation ohne Staat – </w:t>
      </w:r>
      <w:r w:rsidR="00A96725">
        <w:rPr>
          <w:szCs w:val="22"/>
        </w:rPr>
        <w:t xml:space="preserve">Bewahrung nationaler Identität durch </w:t>
      </w:r>
      <w:r>
        <w:rPr>
          <w:szCs w:val="22"/>
        </w:rPr>
        <w:t xml:space="preserve">Sprache, </w:t>
      </w:r>
      <w:r w:rsidR="002402A8">
        <w:rPr>
          <w:szCs w:val="22"/>
        </w:rPr>
        <w:tab/>
      </w:r>
      <w:r w:rsidR="002402A8">
        <w:rPr>
          <w:szCs w:val="22"/>
        </w:rPr>
        <w:tab/>
      </w:r>
      <w:r w:rsidR="002402A8">
        <w:rPr>
          <w:szCs w:val="22"/>
        </w:rPr>
        <w:tab/>
        <w:t xml:space="preserve"> </w:t>
      </w:r>
      <w:bookmarkStart w:id="0" w:name="_GoBack"/>
      <w:bookmarkEnd w:id="0"/>
      <w:r>
        <w:rPr>
          <w:szCs w:val="22"/>
        </w:rPr>
        <w:t>Religion und Literatur</w:t>
      </w:r>
    </w:p>
    <w:p w:rsidR="00835A4E" w:rsidRPr="00FC4C21" w:rsidRDefault="00835A4E" w:rsidP="00F662DB">
      <w:pPr>
        <w:pStyle w:val="2Listeeingerckt"/>
        <w:numPr>
          <w:ilvl w:val="0"/>
          <w:numId w:val="0"/>
        </w:numPr>
        <w:rPr>
          <w:i/>
          <w:sz w:val="24"/>
          <w:u w:val="single"/>
          <w:lang w:eastAsia="en-US"/>
        </w:rPr>
      </w:pPr>
      <w:r w:rsidRPr="001E7A2C">
        <w:rPr>
          <w:szCs w:val="24"/>
        </w:rPr>
        <w:br w:type="page"/>
      </w:r>
      <w:r w:rsidRPr="00FC4C21">
        <w:rPr>
          <w:i/>
          <w:sz w:val="24"/>
          <w:u w:val="single"/>
          <w:lang w:eastAsia="en-US"/>
        </w:rPr>
        <w:lastRenderedPageBreak/>
        <w:t>Didaktische Einführung zum Thema</w:t>
      </w:r>
    </w:p>
    <w:p w:rsidR="00835A4E" w:rsidRPr="001630D0" w:rsidRDefault="00835A4E" w:rsidP="00835A4E">
      <w:pPr>
        <w:pStyle w:val="1Standardflietext"/>
        <w:rPr>
          <w:lang w:eastAsia="en-US"/>
        </w:rPr>
      </w:pPr>
    </w:p>
    <w:p w:rsidR="00835A4E" w:rsidRPr="001630D0" w:rsidRDefault="00754CDB" w:rsidP="00835A4E">
      <w:pPr>
        <w:pStyle w:val="0berschrift1"/>
        <w:rPr>
          <w:lang w:eastAsia="en-US"/>
        </w:rPr>
      </w:pPr>
      <w:r>
        <w:rPr>
          <w:lang w:eastAsia="en-US"/>
        </w:rPr>
        <w:t>Nation ohne Staat – Polen im 19. Jahrhundert</w:t>
      </w:r>
    </w:p>
    <w:p w:rsidR="00835A4E" w:rsidRPr="001E7A2C" w:rsidRDefault="00835A4E" w:rsidP="00835A4E">
      <w:pPr>
        <w:pStyle w:val="0berschrift2"/>
      </w:pPr>
      <w:r w:rsidRPr="001E7A2C">
        <w:t xml:space="preserve">Hinweise zum Einsatz im Unterricht </w:t>
      </w:r>
    </w:p>
    <w:p w:rsidR="00835A4E" w:rsidRPr="001E7A2C" w:rsidRDefault="00835A4E" w:rsidP="00754CDB">
      <w:pPr>
        <w:pStyle w:val="0berschrift1"/>
        <w:rPr>
          <w:lang w:eastAsia="en-US"/>
        </w:rPr>
      </w:pPr>
      <w:r w:rsidRPr="00FC4C21">
        <w:rPr>
          <w:b w:val="0"/>
          <w:lang w:eastAsia="en-US"/>
        </w:rPr>
        <w:t>Das Thema</w:t>
      </w:r>
      <w:r w:rsidRPr="00754CDB">
        <w:rPr>
          <w:b w:val="0"/>
          <w:lang w:eastAsia="en-US"/>
        </w:rPr>
        <w:t xml:space="preserve"> „</w:t>
      </w:r>
      <w:r w:rsidR="00754CDB" w:rsidRPr="00754CDB">
        <w:rPr>
          <w:b w:val="0"/>
          <w:lang w:eastAsia="en-US"/>
        </w:rPr>
        <w:t>Nation ohne Staat – Polen im 19. Jahrhundert</w:t>
      </w:r>
      <w:r w:rsidRPr="00754CDB">
        <w:rPr>
          <w:b w:val="0"/>
          <w:lang w:eastAsia="en-US"/>
        </w:rPr>
        <w:t>“</w:t>
      </w:r>
      <w:r w:rsidRPr="00FC4C21">
        <w:rPr>
          <w:b w:val="0"/>
          <w:lang w:eastAsia="en-US"/>
        </w:rPr>
        <w:t xml:space="preserve"> </w:t>
      </w:r>
      <w:r w:rsidRPr="00FC4C21">
        <w:rPr>
          <w:rFonts w:eastAsia="SabonCECV"/>
          <w:b w:val="0"/>
        </w:rPr>
        <w:t>kann im Unterricht</w:t>
      </w:r>
      <w:r w:rsidRPr="00F662DB">
        <w:rPr>
          <w:rFonts w:eastAsia="SabonCECV"/>
          <w:b w:val="0"/>
        </w:rPr>
        <w:t xml:space="preserve"> behandelt werden</w:t>
      </w:r>
    </w:p>
    <w:p w:rsidR="00835A4E" w:rsidRDefault="00835A4E" w:rsidP="00835A4E">
      <w:pPr>
        <w:pStyle w:val="2Listeeingerckt"/>
      </w:pPr>
      <w:r w:rsidRPr="001E7A2C">
        <w:t>im Kontext der Unterrich</w:t>
      </w:r>
      <w:r w:rsidR="00754CDB">
        <w:t>tseinheit „</w:t>
      </w:r>
      <w:r w:rsidR="00F627D1">
        <w:t>Deutschland im 19. Jahrhundert“</w:t>
      </w:r>
      <w:r w:rsidR="00796776">
        <w:t xml:space="preserve"> (Vormärz)</w:t>
      </w:r>
    </w:p>
    <w:p w:rsidR="00F627D1" w:rsidRDefault="00835A4E" w:rsidP="003A5DAF">
      <w:pPr>
        <w:pStyle w:val="2Listeeingerckt"/>
      </w:pPr>
      <w:r>
        <w:t xml:space="preserve">im Kontext der Unterrichtseinheit </w:t>
      </w:r>
      <w:r w:rsidR="00F627D1">
        <w:t>„Herausbildung des Deutschen Nationalstaats“ (Bismarckreich)</w:t>
      </w:r>
    </w:p>
    <w:p w:rsidR="00835A4E" w:rsidRDefault="00835A4E" w:rsidP="003A5DAF">
      <w:pPr>
        <w:pStyle w:val="2Listeeingerckt"/>
      </w:pPr>
      <w:r w:rsidRPr="001E7A2C">
        <w:t>im Kontext der Vorbereitung von Schüleraustauschprogrammen und Klassenfahrten nach Polen</w:t>
      </w:r>
    </w:p>
    <w:p w:rsidR="007B0E51" w:rsidRPr="00851AEA" w:rsidRDefault="007B0E51" w:rsidP="007B0E51">
      <w:pPr>
        <w:pStyle w:val="2Listeeingerckt"/>
        <w:numPr>
          <w:ilvl w:val="0"/>
          <w:numId w:val="0"/>
        </w:numPr>
        <w:ind w:left="680"/>
      </w:pPr>
    </w:p>
    <w:p w:rsidR="00835A4E" w:rsidRPr="001E7A2C" w:rsidRDefault="00835A4E" w:rsidP="00835A4E">
      <w:pPr>
        <w:pStyle w:val="0berschrift2"/>
      </w:pPr>
      <w:r w:rsidRPr="00C73865">
        <w:t>Film</w:t>
      </w:r>
    </w:p>
    <w:p w:rsidR="003103F9" w:rsidRDefault="00F32FAB" w:rsidP="00F662DB">
      <w:pPr>
        <w:pStyle w:val="1Standardflietext"/>
        <w:jc w:val="both"/>
        <w:rPr>
          <w:b/>
        </w:rPr>
      </w:pPr>
      <w:r>
        <w:rPr>
          <w:b/>
        </w:rPr>
        <w:t>Polens Grenzen vom Jahr 990 bis heute</w:t>
      </w:r>
      <w:r w:rsidR="00A96725">
        <w:rPr>
          <w:b/>
        </w:rPr>
        <w:t xml:space="preserve"> (1.</w:t>
      </w:r>
      <w:r w:rsidR="003103F9">
        <w:rPr>
          <w:b/>
        </w:rPr>
        <w:t>20 Min.)</w:t>
      </w:r>
    </w:p>
    <w:p w:rsidR="003103F9" w:rsidRDefault="007769E4" w:rsidP="00F662DB">
      <w:pPr>
        <w:pStyle w:val="1Standardflietext"/>
        <w:jc w:val="both"/>
      </w:pPr>
      <w:hyperlink r:id="rId9" w:history="1">
        <w:r w:rsidR="003103F9" w:rsidRPr="00266B0D">
          <w:rPr>
            <w:rStyle w:val="Hyperlink"/>
          </w:rPr>
          <w:t>http://www.youtube.com/watch?v=YtkEwjiNl5k</w:t>
        </w:r>
      </w:hyperlink>
    </w:p>
    <w:p w:rsidR="003103F9" w:rsidRPr="001B36F8" w:rsidRDefault="003103F9" w:rsidP="00F662DB">
      <w:pPr>
        <w:pStyle w:val="1Standardflietext"/>
        <w:jc w:val="both"/>
      </w:pPr>
      <w:r w:rsidRPr="001B36F8">
        <w:t xml:space="preserve">Dieser kurze Stummfilm zeigt grafisch die ständige Veränderung der polnischen Grenzen zwischen den Jahren 990 und 2008. Die </w:t>
      </w:r>
      <w:proofErr w:type="spellStart"/>
      <w:r w:rsidRPr="001B36F8">
        <w:t>Schüler</w:t>
      </w:r>
      <w:r w:rsidR="00AC3D5C">
        <w:t>Innen</w:t>
      </w:r>
      <w:proofErr w:type="spellEnd"/>
      <w:r w:rsidRPr="001B36F8">
        <w:t xml:space="preserve"> bekommen einen guten Eindruck davon, wie stark sich das polnische Staatsgebiet </w:t>
      </w:r>
      <w:r w:rsidR="00A96725" w:rsidRPr="001B36F8">
        <w:t xml:space="preserve">und </w:t>
      </w:r>
      <w:r w:rsidR="00AF601C" w:rsidRPr="001B36F8">
        <w:t>seine</w:t>
      </w:r>
      <w:r w:rsidR="00A96725" w:rsidRPr="001B36F8">
        <w:t xml:space="preserve"> geografische Lage </w:t>
      </w:r>
      <w:r w:rsidRPr="001B36F8">
        <w:t xml:space="preserve">im Laufe </w:t>
      </w:r>
      <w:r w:rsidR="00A96725" w:rsidRPr="001B36F8">
        <w:t xml:space="preserve">der europäischen </w:t>
      </w:r>
      <w:r w:rsidR="001B36F8" w:rsidRPr="001B36F8">
        <w:t>Geschichte verändert haben.</w:t>
      </w:r>
    </w:p>
    <w:p w:rsidR="003103F9" w:rsidRDefault="003103F9" w:rsidP="00F662DB">
      <w:pPr>
        <w:pStyle w:val="1Standardflietext"/>
        <w:jc w:val="both"/>
        <w:rPr>
          <w:b/>
        </w:rPr>
      </w:pPr>
    </w:p>
    <w:p w:rsidR="007B0E51" w:rsidRPr="007B0E51" w:rsidRDefault="00A96725" w:rsidP="00F662DB">
      <w:pPr>
        <w:pStyle w:val="1Standardflietext"/>
        <w:jc w:val="both"/>
        <w:rPr>
          <w:b/>
        </w:rPr>
      </w:pPr>
      <w:r>
        <w:rPr>
          <w:b/>
        </w:rPr>
        <w:t>Hambacher Fest (7.</w:t>
      </w:r>
      <w:r w:rsidR="007B0E51" w:rsidRPr="007B0E51">
        <w:rPr>
          <w:b/>
        </w:rPr>
        <w:t>00 Min.)</w:t>
      </w:r>
    </w:p>
    <w:p w:rsidR="007B0E51" w:rsidRDefault="007769E4" w:rsidP="00F662DB">
      <w:pPr>
        <w:pStyle w:val="1Standardflietext"/>
        <w:jc w:val="both"/>
      </w:pPr>
      <w:hyperlink r:id="rId10" w:history="1">
        <w:r w:rsidR="007B0E51" w:rsidRPr="00266B0D">
          <w:rPr>
            <w:rStyle w:val="Hyperlink"/>
          </w:rPr>
          <w:t>http://www.youtube.com/watch?v=HpyPHESKEDw</w:t>
        </w:r>
      </w:hyperlink>
    </w:p>
    <w:p w:rsidR="002F53E1" w:rsidRPr="001B36F8" w:rsidRDefault="00506747" w:rsidP="002F53E1">
      <w:pPr>
        <w:pStyle w:val="1Standardflietext"/>
        <w:jc w:val="both"/>
      </w:pPr>
      <w:r w:rsidRPr="001B36F8">
        <w:t>Der</w:t>
      </w:r>
      <w:r w:rsidR="007B0E51" w:rsidRPr="001B36F8">
        <w:t xml:space="preserve"> Film </w:t>
      </w:r>
      <w:r w:rsidRPr="001B36F8">
        <w:t xml:space="preserve">gibt </w:t>
      </w:r>
      <w:r w:rsidR="007B0E51" w:rsidRPr="001B36F8">
        <w:t>einen guten</w:t>
      </w:r>
      <w:r w:rsidRPr="001B36F8">
        <w:t>, wenn auch etwas monoton gesprochenen</w:t>
      </w:r>
      <w:r w:rsidR="007B0E51" w:rsidRPr="001B36F8">
        <w:t xml:space="preserve"> Überblick über den Hintergrund und Ablauf des Hambacher Festes. Polen spielt in dem Film zwar nur eine untergeordnete Rolle, wird aber in de</w:t>
      </w:r>
      <w:r w:rsidR="002F53E1" w:rsidRPr="001B36F8">
        <w:t>n Kontext des Fest</w:t>
      </w:r>
      <w:r w:rsidR="007E7428" w:rsidRPr="001B36F8">
        <w:t>es</w:t>
      </w:r>
      <w:r w:rsidR="002F53E1" w:rsidRPr="001B36F8">
        <w:t xml:space="preserve"> eingeordnet.</w:t>
      </w:r>
    </w:p>
    <w:p w:rsidR="002F53E1" w:rsidRDefault="002F53E1" w:rsidP="002F53E1">
      <w:pPr>
        <w:pStyle w:val="1Standardflietext"/>
        <w:jc w:val="both"/>
      </w:pPr>
    </w:p>
    <w:p w:rsidR="002F53E1" w:rsidRPr="002F53E1" w:rsidRDefault="002F53E1" w:rsidP="002F53E1">
      <w:pPr>
        <w:pStyle w:val="1Standardflietext"/>
        <w:jc w:val="both"/>
        <w:rPr>
          <w:b/>
        </w:rPr>
      </w:pPr>
      <w:r w:rsidRPr="002F53E1">
        <w:rPr>
          <w:rStyle w:val="watch-title"/>
          <w:b/>
        </w:rPr>
        <w:t xml:space="preserve">Die Revolution von 1848 in aller Kürze </w:t>
      </w:r>
      <w:r w:rsidR="00A96725">
        <w:rPr>
          <w:rStyle w:val="watch-title"/>
          <w:b/>
        </w:rPr>
        <w:t>(11.40 Min.)</w:t>
      </w:r>
    </w:p>
    <w:p w:rsidR="007B0E51" w:rsidRDefault="007769E4" w:rsidP="00835A4E">
      <w:pPr>
        <w:pStyle w:val="1Standardflietext"/>
      </w:pPr>
      <w:hyperlink r:id="rId11" w:history="1">
        <w:r w:rsidR="002F53E1" w:rsidRPr="00266B0D">
          <w:rPr>
            <w:rStyle w:val="Hyperlink"/>
          </w:rPr>
          <w:t>http://www.youtube.com/watch?v=Bp36aDI36VY</w:t>
        </w:r>
      </w:hyperlink>
    </w:p>
    <w:p w:rsidR="002F53E1" w:rsidRPr="001B36F8" w:rsidRDefault="002F53E1" w:rsidP="00506747">
      <w:pPr>
        <w:pStyle w:val="1Standardflietext"/>
        <w:jc w:val="both"/>
      </w:pPr>
      <w:r w:rsidRPr="001B36F8">
        <w:t xml:space="preserve">Der für </w:t>
      </w:r>
      <w:proofErr w:type="spellStart"/>
      <w:r w:rsidRPr="001B36F8">
        <w:t>Schüler</w:t>
      </w:r>
      <w:r w:rsidR="00506747" w:rsidRPr="001B36F8">
        <w:t>Innen</w:t>
      </w:r>
      <w:proofErr w:type="spellEnd"/>
      <w:r w:rsidRPr="001B36F8">
        <w:t xml:space="preserve"> gut verständliche Film dokumentiert die Entstehung und den Verlauf der deutschen Revolution von 1848. </w:t>
      </w:r>
    </w:p>
    <w:p w:rsidR="00156A9B" w:rsidRDefault="00156A9B" w:rsidP="00506747">
      <w:pPr>
        <w:pStyle w:val="1Standardflietext"/>
        <w:jc w:val="both"/>
        <w:rPr>
          <w:i/>
        </w:rPr>
      </w:pPr>
    </w:p>
    <w:p w:rsidR="00156A9B" w:rsidRPr="001B36F8" w:rsidRDefault="00A361D5" w:rsidP="00A361D5">
      <w:pPr>
        <w:pStyle w:val="0berschrift2"/>
      </w:pPr>
      <w:r>
        <w:t>Audio</w:t>
      </w:r>
    </w:p>
    <w:p w:rsidR="00156A9B" w:rsidRPr="00AF601C" w:rsidRDefault="00156A9B" w:rsidP="00156A9B">
      <w:pPr>
        <w:pStyle w:val="1Standardflietext"/>
        <w:jc w:val="both"/>
        <w:rPr>
          <w:b/>
        </w:rPr>
      </w:pPr>
      <w:r w:rsidRPr="00AF601C">
        <w:rPr>
          <w:b/>
        </w:rPr>
        <w:t>„Die Teilungen Polens: Ein Land verschwindet“ (20.45 Min.)</w:t>
      </w:r>
    </w:p>
    <w:p w:rsidR="00156A9B" w:rsidRDefault="007769E4" w:rsidP="00506747">
      <w:pPr>
        <w:pStyle w:val="1Standardflietext"/>
        <w:jc w:val="both"/>
      </w:pPr>
      <w:hyperlink r:id="rId12" w:history="1">
        <w:r w:rsidR="001B36F8" w:rsidRPr="00F2719B">
          <w:rPr>
            <w:rStyle w:val="Hyperlink"/>
          </w:rPr>
          <w:t>http://www.br.de/radio/bayern2/sendungen/radiowissen/polen-teilung100.html</w:t>
        </w:r>
      </w:hyperlink>
      <w:r w:rsidR="001B36F8">
        <w:t xml:space="preserve"> </w:t>
      </w:r>
    </w:p>
    <w:p w:rsidR="001B36F8" w:rsidRPr="00AF601C" w:rsidRDefault="001B36F8" w:rsidP="00506747">
      <w:pPr>
        <w:pStyle w:val="1Standardflietext"/>
        <w:jc w:val="both"/>
      </w:pPr>
      <w:r w:rsidRPr="001B36F8">
        <w:t xml:space="preserve">Diese Reportage des Bayrischen Rundfunks aus dem Jahr 2012 gibt einen guten Überblick über die Hintergründe der Teilungen </w:t>
      </w:r>
      <w:r w:rsidR="00A361D5">
        <w:t>Polens.</w:t>
      </w:r>
    </w:p>
    <w:p w:rsidR="00835A4E" w:rsidRPr="001E7A2C" w:rsidRDefault="00835A4E" w:rsidP="00835A4E">
      <w:pPr>
        <w:pStyle w:val="1Standardflietext"/>
      </w:pPr>
    </w:p>
    <w:p w:rsidR="00835A4E" w:rsidRPr="001E7A2C" w:rsidRDefault="00835A4E" w:rsidP="00AA2221">
      <w:pPr>
        <w:pStyle w:val="0berschrift2"/>
        <w:jc w:val="both"/>
      </w:pPr>
      <w:r w:rsidRPr="001E7A2C">
        <w:t>Einführungstext:</w:t>
      </w:r>
    </w:p>
    <w:p w:rsidR="00FC4C21" w:rsidRPr="007E7428" w:rsidRDefault="007E7428" w:rsidP="007E7428">
      <w:pPr>
        <w:spacing w:line="240" w:lineRule="exact"/>
        <w:jc w:val="both"/>
        <w:rPr>
          <w:rFonts w:cs="Arial"/>
          <w:sz w:val="22"/>
          <w:szCs w:val="22"/>
        </w:rPr>
      </w:pPr>
      <w:r w:rsidRPr="007E7428">
        <w:rPr>
          <w:rFonts w:cs="Arial"/>
          <w:sz w:val="22"/>
          <w:szCs w:val="22"/>
        </w:rPr>
        <w:t xml:space="preserve">Ausgehend </w:t>
      </w:r>
      <w:r w:rsidR="009D3E58">
        <w:rPr>
          <w:rFonts w:cs="Arial"/>
          <w:sz w:val="22"/>
          <w:szCs w:val="22"/>
        </w:rPr>
        <w:t>von der dritten</w:t>
      </w:r>
      <w:r>
        <w:rPr>
          <w:rFonts w:cs="Arial"/>
          <w:sz w:val="22"/>
          <w:szCs w:val="22"/>
        </w:rPr>
        <w:t xml:space="preserve"> Teilung Polens im Jahr 1795 bietet der Einführungstext einen historischen Überblick über den Verlauf der Teilungszeit. Er beschreibt die unterschiedlichen Einflussnahmen </w:t>
      </w:r>
      <w:r w:rsidR="009D3E58">
        <w:rPr>
          <w:rFonts w:cs="Arial"/>
          <w:sz w:val="22"/>
          <w:szCs w:val="22"/>
        </w:rPr>
        <w:t>der Teilungsmächte in ihrem jeweiligen Einflussgebiet</w:t>
      </w:r>
      <w:r>
        <w:rPr>
          <w:rFonts w:cs="Arial"/>
          <w:sz w:val="22"/>
          <w:szCs w:val="22"/>
        </w:rPr>
        <w:t xml:space="preserve"> und die Reaktion</w:t>
      </w:r>
      <w:r w:rsidR="00C44527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der polnischen Bevölkerung</w:t>
      </w:r>
      <w:r w:rsidR="00C44527">
        <w:rPr>
          <w:rFonts w:cs="Arial"/>
          <w:sz w:val="22"/>
          <w:szCs w:val="22"/>
        </w:rPr>
        <w:t xml:space="preserve">. Insbesondere im </w:t>
      </w:r>
      <w:r>
        <w:rPr>
          <w:rFonts w:cs="Arial"/>
          <w:sz w:val="22"/>
          <w:szCs w:val="22"/>
        </w:rPr>
        <w:t>russischen Teilungsge</w:t>
      </w:r>
      <w:r w:rsidR="009D3E58">
        <w:rPr>
          <w:rFonts w:cs="Arial"/>
          <w:sz w:val="22"/>
          <w:szCs w:val="22"/>
        </w:rPr>
        <w:t xml:space="preserve">biet </w:t>
      </w:r>
      <w:r w:rsidR="00C44527">
        <w:rPr>
          <w:rFonts w:cs="Arial"/>
          <w:sz w:val="22"/>
          <w:szCs w:val="22"/>
        </w:rPr>
        <w:t xml:space="preserve">kam es zu </w:t>
      </w:r>
      <w:r w:rsidR="003A5DAF">
        <w:rPr>
          <w:rFonts w:cs="Arial"/>
          <w:sz w:val="22"/>
          <w:szCs w:val="22"/>
        </w:rPr>
        <w:t>Aufständen (1830/31</w:t>
      </w:r>
      <w:r w:rsidR="009D3E58">
        <w:rPr>
          <w:rFonts w:cs="Arial"/>
          <w:sz w:val="22"/>
          <w:szCs w:val="22"/>
        </w:rPr>
        <w:t xml:space="preserve">, 1863/64). </w:t>
      </w:r>
      <w:r w:rsidR="00190920">
        <w:rPr>
          <w:rFonts w:cs="Arial"/>
          <w:sz w:val="22"/>
          <w:szCs w:val="22"/>
        </w:rPr>
        <w:t xml:space="preserve">Darüber hinaus </w:t>
      </w:r>
      <w:r w:rsidR="00690499">
        <w:rPr>
          <w:rFonts w:cs="Arial"/>
          <w:sz w:val="22"/>
          <w:szCs w:val="22"/>
        </w:rPr>
        <w:t>skizziert</w:t>
      </w:r>
      <w:r w:rsidR="009D3E58">
        <w:rPr>
          <w:rFonts w:cs="Arial"/>
          <w:sz w:val="22"/>
          <w:szCs w:val="22"/>
        </w:rPr>
        <w:t xml:space="preserve"> </w:t>
      </w:r>
      <w:r w:rsidR="005F6399">
        <w:rPr>
          <w:rFonts w:cs="Arial"/>
          <w:sz w:val="22"/>
          <w:szCs w:val="22"/>
        </w:rPr>
        <w:t xml:space="preserve">der Text </w:t>
      </w:r>
      <w:r w:rsidR="009D3E58">
        <w:rPr>
          <w:rFonts w:cs="Arial"/>
          <w:sz w:val="22"/>
          <w:szCs w:val="22"/>
        </w:rPr>
        <w:t xml:space="preserve">die </w:t>
      </w:r>
      <w:r w:rsidR="00690499">
        <w:rPr>
          <w:rFonts w:cs="Arial"/>
          <w:sz w:val="22"/>
          <w:szCs w:val="22"/>
        </w:rPr>
        <w:t>daraufhin einsetzende polnische Emigrationsbewegung sowie die Ursache</w:t>
      </w:r>
      <w:r w:rsidR="00F32FAB">
        <w:rPr>
          <w:rFonts w:cs="Arial"/>
          <w:sz w:val="22"/>
          <w:szCs w:val="22"/>
        </w:rPr>
        <w:t>n und Formen der in Deutschland</w:t>
      </w:r>
      <w:r w:rsidR="00190920">
        <w:rPr>
          <w:rFonts w:cs="Arial"/>
          <w:sz w:val="22"/>
          <w:szCs w:val="22"/>
        </w:rPr>
        <w:t xml:space="preserve"> </w:t>
      </w:r>
      <w:r w:rsidR="00F32FAB">
        <w:rPr>
          <w:rFonts w:cs="Arial"/>
          <w:sz w:val="22"/>
          <w:szCs w:val="22"/>
        </w:rPr>
        <w:t xml:space="preserve"> </w:t>
      </w:r>
      <w:r w:rsidR="00190920">
        <w:rPr>
          <w:rFonts w:cs="Arial"/>
          <w:sz w:val="22"/>
          <w:szCs w:val="22"/>
        </w:rPr>
        <w:t xml:space="preserve">zunehmenden </w:t>
      </w:r>
      <w:r w:rsidR="00690499">
        <w:rPr>
          <w:rFonts w:cs="Arial"/>
          <w:sz w:val="22"/>
          <w:szCs w:val="22"/>
        </w:rPr>
        <w:t>Polenbegeisterung (z.</w:t>
      </w:r>
      <w:r w:rsidR="00C44527">
        <w:rPr>
          <w:rFonts w:cs="Arial"/>
          <w:sz w:val="22"/>
          <w:szCs w:val="22"/>
        </w:rPr>
        <w:t> </w:t>
      </w:r>
      <w:r w:rsidR="00690499">
        <w:rPr>
          <w:rFonts w:cs="Arial"/>
          <w:sz w:val="22"/>
          <w:szCs w:val="22"/>
        </w:rPr>
        <w:t>B. auf dem Hambacher Fest</w:t>
      </w:r>
      <w:r w:rsidR="009D3E58">
        <w:rPr>
          <w:rFonts w:cs="Arial"/>
          <w:sz w:val="22"/>
          <w:szCs w:val="22"/>
        </w:rPr>
        <w:t xml:space="preserve"> 1832</w:t>
      </w:r>
      <w:r w:rsidR="00690499">
        <w:rPr>
          <w:rFonts w:cs="Arial"/>
          <w:sz w:val="22"/>
          <w:szCs w:val="22"/>
        </w:rPr>
        <w:t>)</w:t>
      </w:r>
      <w:r w:rsidR="009D3E58">
        <w:rPr>
          <w:rFonts w:cs="Arial"/>
          <w:sz w:val="22"/>
          <w:szCs w:val="22"/>
        </w:rPr>
        <w:t xml:space="preserve"> sowie deren </w:t>
      </w:r>
      <w:r w:rsidR="00190920">
        <w:rPr>
          <w:rFonts w:cs="Arial"/>
          <w:sz w:val="22"/>
          <w:szCs w:val="22"/>
        </w:rPr>
        <w:t xml:space="preserve">Widerhall </w:t>
      </w:r>
      <w:r w:rsidR="009D3E58">
        <w:rPr>
          <w:rFonts w:cs="Arial"/>
          <w:sz w:val="22"/>
          <w:szCs w:val="22"/>
        </w:rPr>
        <w:t>in literarischen und politischen Werken und Reden. Die Teilungszeit Polens endete mit der Wiederherstellung des polnischen Staates nach dem Ersten Weltkrieg im Jahr 1918.</w:t>
      </w:r>
    </w:p>
    <w:p w:rsidR="00835A4E" w:rsidRPr="001E7A2C" w:rsidRDefault="00835A4E" w:rsidP="00835A4E">
      <w:pPr>
        <w:pStyle w:val="0berschrift2"/>
      </w:pPr>
      <w:r w:rsidRPr="001E7A2C">
        <w:lastRenderedPageBreak/>
        <w:t>Themen der Arbeitsblätter</w:t>
      </w:r>
    </w:p>
    <w:p w:rsidR="00C10AD7" w:rsidRPr="00745DA7" w:rsidRDefault="00835A4E" w:rsidP="00745DA7">
      <w:pPr>
        <w:pStyle w:val="2Listeeingerckt"/>
        <w:numPr>
          <w:ilvl w:val="0"/>
          <w:numId w:val="0"/>
        </w:numPr>
      </w:pPr>
      <w:r w:rsidRPr="00CE104A">
        <w:rPr>
          <w:b/>
        </w:rPr>
        <w:t>Arbeitsblatt 1:</w:t>
      </w:r>
      <w:r>
        <w:rPr>
          <w:b/>
        </w:rPr>
        <w:t xml:space="preserve"> </w:t>
      </w:r>
      <w:r w:rsidR="00745DA7">
        <w:t>Die Chronologie der Teilungszeit (1795-1918)</w:t>
      </w:r>
    </w:p>
    <w:p w:rsidR="00FF2D8D" w:rsidRDefault="00835A4E" w:rsidP="006A572A">
      <w:pPr>
        <w:pStyle w:val="1Standardflietext"/>
        <w:jc w:val="both"/>
        <w:rPr>
          <w:b/>
        </w:rPr>
      </w:pPr>
      <w:r>
        <w:rPr>
          <w:b/>
        </w:rPr>
        <w:t xml:space="preserve">Arbeitsblatt 2: </w:t>
      </w:r>
      <w:r w:rsidR="00FF2D8D" w:rsidRPr="00FF2D8D">
        <w:t>Der Empfang polnischer Emigranten in Deutschland</w:t>
      </w:r>
    </w:p>
    <w:p w:rsidR="00835A4E" w:rsidRDefault="00835A4E" w:rsidP="006A572A">
      <w:pPr>
        <w:pStyle w:val="1Standardflietext"/>
        <w:jc w:val="both"/>
      </w:pPr>
      <w:r>
        <w:rPr>
          <w:b/>
        </w:rPr>
        <w:t>Arbeitsblatt 3</w:t>
      </w:r>
      <w:r w:rsidRPr="00CE104A">
        <w:rPr>
          <w:b/>
        </w:rPr>
        <w:t xml:space="preserve">: </w:t>
      </w:r>
      <w:r w:rsidR="00FF2D8D">
        <w:t>Stellungnahmen zur Polenfrage 1848</w:t>
      </w:r>
    </w:p>
    <w:p w:rsidR="003E1A1B" w:rsidRDefault="003E1A1B" w:rsidP="003E1A1B">
      <w:pPr>
        <w:pStyle w:val="2Listeeingerckt"/>
        <w:numPr>
          <w:ilvl w:val="0"/>
          <w:numId w:val="0"/>
        </w:numPr>
        <w:rPr>
          <w:szCs w:val="22"/>
        </w:rPr>
      </w:pPr>
      <w:r w:rsidRPr="003E1A1B">
        <w:rPr>
          <w:b/>
          <w:szCs w:val="22"/>
        </w:rPr>
        <w:t>Arbeitsblatt 4:</w:t>
      </w:r>
      <w:r w:rsidRPr="003E1A1B">
        <w:rPr>
          <w:szCs w:val="22"/>
        </w:rPr>
        <w:t xml:space="preserve"> Die Polenpolitik des deutschen Kaiserreichs</w:t>
      </w:r>
    </w:p>
    <w:p w:rsidR="00EE49A6" w:rsidRPr="00EE49A6" w:rsidRDefault="00EE49A6" w:rsidP="00EE49A6">
      <w:pPr>
        <w:pStyle w:val="2Listeeingerckt"/>
        <w:numPr>
          <w:ilvl w:val="0"/>
          <w:numId w:val="0"/>
        </w:numPr>
        <w:rPr>
          <w:b/>
          <w:szCs w:val="22"/>
        </w:rPr>
      </w:pPr>
      <w:r w:rsidRPr="00EE49A6">
        <w:rPr>
          <w:b/>
          <w:szCs w:val="22"/>
        </w:rPr>
        <w:t>Arbeitsblatt 5: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Nation ohne Staat – </w:t>
      </w:r>
      <w:r w:rsidR="00A96725">
        <w:rPr>
          <w:szCs w:val="22"/>
        </w:rPr>
        <w:t xml:space="preserve">Bewahrung nationaler Identität durch </w:t>
      </w:r>
      <w:r>
        <w:rPr>
          <w:szCs w:val="22"/>
        </w:rPr>
        <w:t xml:space="preserve">Sprache, Religion </w:t>
      </w:r>
      <w:r w:rsidR="007E1746">
        <w:rPr>
          <w:szCs w:val="22"/>
        </w:rPr>
        <w:tab/>
      </w:r>
      <w:r w:rsidR="007E1746">
        <w:rPr>
          <w:szCs w:val="22"/>
        </w:rPr>
        <w:tab/>
        <w:t xml:space="preserve">  </w:t>
      </w:r>
      <w:r>
        <w:rPr>
          <w:szCs w:val="22"/>
        </w:rPr>
        <w:t>und Literatur</w:t>
      </w:r>
    </w:p>
    <w:p w:rsidR="00835A4E" w:rsidRDefault="00835A4E" w:rsidP="00835A4E">
      <w:pPr>
        <w:pStyle w:val="1Standardflietext"/>
        <w:spacing w:after="0"/>
        <w:rPr>
          <w:rFonts w:ascii="Times New Roman" w:hAnsi="Times New Roman"/>
          <w:b/>
          <w:sz w:val="24"/>
        </w:rPr>
      </w:pPr>
    </w:p>
    <w:p w:rsidR="00835A4E" w:rsidRDefault="00835A4E" w:rsidP="00835A4E">
      <w:pPr>
        <w:pStyle w:val="0berschrift2"/>
        <w:rPr>
          <w:lang w:eastAsia="en-US"/>
        </w:rPr>
      </w:pPr>
      <w:r w:rsidRPr="001E7A2C">
        <w:rPr>
          <w:lang w:eastAsia="en-US"/>
        </w:rPr>
        <w:t>Themen, Links und Literatur</w:t>
      </w:r>
    </w:p>
    <w:p w:rsidR="00E62873" w:rsidRPr="00E62873" w:rsidRDefault="00E62873" w:rsidP="00E62873">
      <w:pPr>
        <w:pStyle w:val="1Standardflietext"/>
        <w:spacing w:after="120"/>
        <w:jc w:val="both"/>
        <w:rPr>
          <w:lang w:eastAsia="en-US"/>
        </w:rPr>
      </w:pPr>
      <w:r w:rsidRPr="00E62873">
        <w:rPr>
          <w:rStyle w:val="1kursiv"/>
          <w:i w:val="0"/>
        </w:rPr>
        <w:t xml:space="preserve">Die Themenvorschläge für Referate oder Hausarbeiten sollen </w:t>
      </w:r>
      <w:proofErr w:type="spellStart"/>
      <w:r w:rsidRPr="00E62873">
        <w:rPr>
          <w:rStyle w:val="1kursiv"/>
          <w:i w:val="0"/>
        </w:rPr>
        <w:t>LehrerInnen</w:t>
      </w:r>
      <w:proofErr w:type="spellEnd"/>
      <w:r w:rsidRPr="00E62873">
        <w:rPr>
          <w:rStyle w:val="1kursiv"/>
          <w:i w:val="0"/>
        </w:rPr>
        <w:t xml:space="preserve"> Möglichkeiten aufzeigen, das Thema mit den </w:t>
      </w:r>
      <w:proofErr w:type="spellStart"/>
      <w:r w:rsidRPr="00E62873">
        <w:rPr>
          <w:rStyle w:val="1kursiv"/>
          <w:i w:val="0"/>
        </w:rPr>
        <w:t>SchülerInnen</w:t>
      </w:r>
      <w:proofErr w:type="spellEnd"/>
      <w:r w:rsidRPr="00E62873">
        <w:rPr>
          <w:rStyle w:val="1kursiv"/>
          <w:i w:val="0"/>
        </w:rPr>
        <w:t xml:space="preserve"> zu bearbeiten. Entsprechende Hinweise zur Sekundärliteratur erleichtern die Recherche und geben erste Anhaltspunkte für den Arbeitseinstieg.</w:t>
      </w:r>
    </w:p>
    <w:p w:rsidR="002F53E1" w:rsidRDefault="002F53E1" w:rsidP="00835A4E">
      <w:pPr>
        <w:pStyle w:val="0berschrift3"/>
        <w:rPr>
          <w:lang w:eastAsia="en-US"/>
        </w:rPr>
      </w:pPr>
    </w:p>
    <w:p w:rsidR="00835A4E" w:rsidRDefault="00835A4E" w:rsidP="00835A4E">
      <w:pPr>
        <w:pStyle w:val="0berschrift3"/>
        <w:rPr>
          <w:lang w:eastAsia="en-US"/>
        </w:rPr>
      </w:pPr>
      <w:r>
        <w:rPr>
          <w:lang w:eastAsia="en-US"/>
        </w:rPr>
        <w:t>Themen fü</w:t>
      </w:r>
      <w:r w:rsidR="00EB5B97">
        <w:rPr>
          <w:lang w:eastAsia="en-US"/>
        </w:rPr>
        <w:t xml:space="preserve">r Referate und </w:t>
      </w:r>
      <w:r w:rsidR="00A14B73">
        <w:rPr>
          <w:lang w:eastAsia="en-US"/>
        </w:rPr>
        <w:t>Haus</w:t>
      </w:r>
      <w:r w:rsidR="00EB5B97">
        <w:rPr>
          <w:lang w:eastAsia="en-US"/>
        </w:rPr>
        <w:t>arbeiten</w:t>
      </w:r>
    </w:p>
    <w:p w:rsidR="004F1735" w:rsidRDefault="004F1735" w:rsidP="00C10AD7">
      <w:pPr>
        <w:pStyle w:val="1Standardflietext"/>
        <w:spacing w:after="0"/>
        <w:jc w:val="both"/>
        <w:rPr>
          <w:i/>
        </w:rPr>
      </w:pPr>
    </w:p>
    <w:p w:rsidR="002F53E1" w:rsidRPr="005C6352" w:rsidRDefault="002F53E1" w:rsidP="00FB06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5C6352">
        <w:rPr>
          <w:rFonts w:cs="Arial"/>
          <w:i/>
          <w:iCs/>
          <w:sz w:val="22"/>
          <w:szCs w:val="22"/>
        </w:rPr>
        <w:t xml:space="preserve">Deutsche und Polen auf dem Hambacher Fest. Hintergründe </w:t>
      </w:r>
      <w:r w:rsidR="005C6352">
        <w:rPr>
          <w:rFonts w:cs="Arial"/>
          <w:i/>
          <w:iCs/>
          <w:sz w:val="22"/>
          <w:szCs w:val="22"/>
        </w:rPr>
        <w:t xml:space="preserve">der deutschen </w:t>
      </w:r>
      <w:r w:rsidR="00F32FAB">
        <w:rPr>
          <w:rFonts w:cs="Arial"/>
          <w:i/>
          <w:iCs/>
          <w:sz w:val="22"/>
          <w:szCs w:val="22"/>
        </w:rPr>
        <w:t>Polenbegeisterung 1830/32</w:t>
      </w:r>
      <w:r w:rsidRPr="005C6352">
        <w:rPr>
          <w:rFonts w:cs="Arial"/>
          <w:i/>
          <w:iCs/>
          <w:sz w:val="22"/>
          <w:szCs w:val="22"/>
        </w:rPr>
        <w:t>.</w:t>
      </w:r>
    </w:p>
    <w:p w:rsidR="005C6352" w:rsidRPr="005C6352" w:rsidRDefault="005C6352" w:rsidP="00FB06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2"/>
          <w:szCs w:val="22"/>
        </w:rPr>
      </w:pPr>
    </w:p>
    <w:p w:rsidR="00FB0683" w:rsidRDefault="002F53E1" w:rsidP="00FB06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5C6352">
        <w:rPr>
          <w:rFonts w:cs="Arial"/>
          <w:i/>
          <w:iCs/>
          <w:sz w:val="22"/>
          <w:szCs w:val="22"/>
        </w:rPr>
        <w:t xml:space="preserve">Die Polenbegeisterung im </w:t>
      </w:r>
      <w:proofErr w:type="spellStart"/>
      <w:r w:rsidRPr="005C6352">
        <w:rPr>
          <w:rFonts w:cs="Arial"/>
          <w:i/>
          <w:iCs/>
          <w:sz w:val="22"/>
          <w:szCs w:val="22"/>
        </w:rPr>
        <w:t>Frühmärz</w:t>
      </w:r>
      <w:proofErr w:type="spellEnd"/>
      <w:r w:rsidRPr="005C6352">
        <w:rPr>
          <w:rFonts w:cs="Arial"/>
          <w:i/>
          <w:iCs/>
          <w:sz w:val="22"/>
          <w:szCs w:val="22"/>
        </w:rPr>
        <w:t>. Recherchen zur Regionalgeschichte</w:t>
      </w:r>
    </w:p>
    <w:p w:rsidR="005C6352" w:rsidRPr="001B36F8" w:rsidRDefault="00FB0683" w:rsidP="00FB06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Cs w:val="22"/>
        </w:rPr>
      </w:pPr>
      <w:r w:rsidRPr="001B36F8">
        <w:rPr>
          <w:rFonts w:cs="Arial"/>
          <w:iCs/>
          <w:szCs w:val="22"/>
        </w:rPr>
        <w:t xml:space="preserve">Hilfreich könnten z. B. die </w:t>
      </w:r>
      <w:r w:rsidR="002F53E1" w:rsidRPr="001B36F8">
        <w:rPr>
          <w:rFonts w:cs="Arial"/>
          <w:i/>
          <w:iCs/>
          <w:szCs w:val="22"/>
        </w:rPr>
        <w:t>Dokumente zur Geschichte der deutsch-polnischen Freundschaft 1</w:t>
      </w:r>
      <w:r w:rsidR="005C6352" w:rsidRPr="001B36F8">
        <w:rPr>
          <w:rFonts w:cs="Arial"/>
          <w:i/>
          <w:iCs/>
          <w:szCs w:val="22"/>
        </w:rPr>
        <w:t xml:space="preserve">830–1832 </w:t>
      </w:r>
      <w:r w:rsidRPr="001B36F8">
        <w:rPr>
          <w:rFonts w:cs="Arial"/>
          <w:iCs/>
          <w:szCs w:val="22"/>
        </w:rPr>
        <w:t>(</w:t>
      </w:r>
      <w:r w:rsidR="005C6352" w:rsidRPr="001B36F8">
        <w:rPr>
          <w:rFonts w:cs="Arial"/>
          <w:iCs/>
          <w:szCs w:val="22"/>
        </w:rPr>
        <w:t xml:space="preserve">Hrsg. u. eingeleitet </w:t>
      </w:r>
      <w:r w:rsidR="002F53E1" w:rsidRPr="001B36F8">
        <w:rPr>
          <w:rFonts w:cs="Arial"/>
          <w:iCs/>
          <w:szCs w:val="22"/>
        </w:rPr>
        <w:t xml:space="preserve">von Helmut </w:t>
      </w:r>
      <w:proofErr w:type="spellStart"/>
      <w:r w:rsidR="002F53E1" w:rsidRPr="001B36F8">
        <w:rPr>
          <w:rFonts w:cs="Arial"/>
          <w:iCs/>
          <w:szCs w:val="22"/>
        </w:rPr>
        <w:t>Bleiber</w:t>
      </w:r>
      <w:proofErr w:type="spellEnd"/>
      <w:r w:rsidR="002F53E1" w:rsidRPr="001B36F8">
        <w:rPr>
          <w:rFonts w:cs="Arial"/>
          <w:iCs/>
          <w:szCs w:val="22"/>
        </w:rPr>
        <w:t xml:space="preserve"> u. Jan </w:t>
      </w:r>
      <w:proofErr w:type="spellStart"/>
      <w:r w:rsidR="002F53E1" w:rsidRPr="001B36F8">
        <w:rPr>
          <w:rFonts w:cs="Arial"/>
          <w:iCs/>
          <w:szCs w:val="22"/>
        </w:rPr>
        <w:t>Kosim</w:t>
      </w:r>
      <w:proofErr w:type="spellEnd"/>
      <w:r w:rsidR="002F53E1" w:rsidRPr="001B36F8">
        <w:rPr>
          <w:rFonts w:cs="Arial"/>
          <w:iCs/>
          <w:szCs w:val="22"/>
        </w:rPr>
        <w:t>.</w:t>
      </w:r>
      <w:r w:rsidR="005C6352" w:rsidRPr="001B36F8">
        <w:rPr>
          <w:rFonts w:cs="Arial"/>
          <w:iCs/>
          <w:szCs w:val="22"/>
        </w:rPr>
        <w:t xml:space="preserve"> Berlin: Akademie-Verlag 1982)</w:t>
      </w:r>
      <w:r w:rsidRPr="001B36F8">
        <w:rPr>
          <w:rFonts w:cs="Arial"/>
          <w:iCs/>
          <w:szCs w:val="22"/>
        </w:rPr>
        <w:t xml:space="preserve"> sein.</w:t>
      </w:r>
    </w:p>
    <w:p w:rsidR="005C6352" w:rsidRPr="00FB0683" w:rsidRDefault="005C6352" w:rsidP="00FB06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2"/>
          <w:szCs w:val="22"/>
        </w:rPr>
      </w:pPr>
    </w:p>
    <w:p w:rsidR="005C6352" w:rsidRPr="005C6352" w:rsidRDefault="002F53E1" w:rsidP="00FB06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5C6352">
        <w:rPr>
          <w:rFonts w:cs="Arial"/>
          <w:i/>
          <w:iCs/>
          <w:sz w:val="22"/>
          <w:szCs w:val="22"/>
        </w:rPr>
        <w:t>Das Nationalgefühl der Polen während der Zeit der Teilung</w:t>
      </w:r>
      <w:r w:rsidR="005C6352" w:rsidRPr="005C6352">
        <w:rPr>
          <w:rFonts w:cs="Arial"/>
          <w:i/>
          <w:iCs/>
          <w:sz w:val="22"/>
          <w:szCs w:val="22"/>
        </w:rPr>
        <w:t xml:space="preserve">en. Die Rolle von Literatur und </w:t>
      </w:r>
      <w:r w:rsidR="005C6352">
        <w:rPr>
          <w:rFonts w:cs="Arial"/>
          <w:i/>
          <w:iCs/>
          <w:sz w:val="22"/>
          <w:szCs w:val="22"/>
        </w:rPr>
        <w:t xml:space="preserve">Religion </w:t>
      </w:r>
      <w:r w:rsidRPr="005C6352">
        <w:rPr>
          <w:rFonts w:cs="Arial"/>
          <w:i/>
          <w:iCs/>
          <w:sz w:val="22"/>
          <w:szCs w:val="22"/>
        </w:rPr>
        <w:t>in Polen.</w:t>
      </w:r>
    </w:p>
    <w:p w:rsidR="002F53E1" w:rsidRPr="00745E38" w:rsidRDefault="002F53E1" w:rsidP="00C10AD7">
      <w:pPr>
        <w:pStyle w:val="1Standardflietext"/>
        <w:spacing w:after="0"/>
        <w:jc w:val="both"/>
        <w:rPr>
          <w:i/>
        </w:rPr>
      </w:pPr>
    </w:p>
    <w:p w:rsidR="00835A4E" w:rsidRDefault="00835A4E" w:rsidP="00835A4E">
      <w:pPr>
        <w:pStyle w:val="0berschrift3"/>
      </w:pPr>
      <w:r>
        <w:t>Das Thema im Internet</w:t>
      </w:r>
    </w:p>
    <w:p w:rsidR="00835A4E" w:rsidRDefault="00835A4E" w:rsidP="00102B84">
      <w:pPr>
        <w:pStyle w:val="1Standardflietext"/>
        <w:spacing w:after="0"/>
      </w:pPr>
    </w:p>
    <w:p w:rsidR="00A73A9A" w:rsidRDefault="00A73A9A" w:rsidP="00FB0683">
      <w:pPr>
        <w:pStyle w:val="1Standardflietext"/>
        <w:spacing w:after="0"/>
        <w:jc w:val="both"/>
      </w:pPr>
      <w:r>
        <w:t xml:space="preserve">Das </w:t>
      </w:r>
      <w:r w:rsidRPr="00FB0683">
        <w:rPr>
          <w:i/>
        </w:rPr>
        <w:t>Institut für Geschichtliche Landeskunde an der Universität Mainz e.V.</w:t>
      </w:r>
      <w:r>
        <w:t xml:space="preserve"> </w:t>
      </w:r>
      <w:r w:rsidR="00FB0683">
        <w:t xml:space="preserve">stellt eine </w:t>
      </w:r>
      <w:r>
        <w:t>interessante Internetplattform zur Demokratiegeschichte mit vielen historischen Beiträgen und Quellenmaterialien</w:t>
      </w:r>
      <w:r w:rsidR="00FB0683">
        <w:t xml:space="preserve"> zur Verfügung</w:t>
      </w:r>
      <w:r>
        <w:t>. Auch zum polnischen Freiheitskampf während der Teilungszeit sowie zur Rolle der Polen auf dem Hambacher Fest finden sich dort Materialien.</w:t>
      </w:r>
    </w:p>
    <w:p w:rsidR="00A73A9A" w:rsidRDefault="007769E4" w:rsidP="005C635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hyperlink r:id="rId13" w:history="1">
        <w:r w:rsidR="00A73A9A" w:rsidRPr="00266B0D">
          <w:rPr>
            <w:rStyle w:val="Hyperlink"/>
            <w:rFonts w:cs="Arial"/>
            <w:sz w:val="22"/>
            <w:szCs w:val="22"/>
          </w:rPr>
          <w:t>http://www.demokratiegeschichte.eu/index.php?id=165</w:t>
        </w:r>
      </w:hyperlink>
    </w:p>
    <w:p w:rsidR="00A73A9A" w:rsidRDefault="00A73A9A" w:rsidP="005C635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A73A9A" w:rsidRDefault="00A73A9A" w:rsidP="005C635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 dieser Seite werden in einem kurzen Überblick die wichtigsten Unterschiede zwischen den jeweiligen Teilungsgebieten skizziert.</w:t>
      </w:r>
    </w:p>
    <w:p w:rsidR="00A73A9A" w:rsidRDefault="007769E4" w:rsidP="005C635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hyperlink r:id="rId14" w:history="1">
        <w:r w:rsidR="00A73A9A" w:rsidRPr="00266B0D">
          <w:rPr>
            <w:rStyle w:val="Hyperlink"/>
            <w:rFonts w:cs="Arial"/>
            <w:sz w:val="22"/>
            <w:szCs w:val="22"/>
          </w:rPr>
          <w:t>http://www.schoenes-polen.de/polen-reise-informationen/geschichte-polen/45-kongresspolen</w:t>
        </w:r>
      </w:hyperlink>
    </w:p>
    <w:p w:rsidR="00A73A9A" w:rsidRDefault="00A73A9A" w:rsidP="005C635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5C6352" w:rsidRPr="005C6352" w:rsidRDefault="008A2793" w:rsidP="00F870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Beschreibung der </w:t>
      </w:r>
      <w:r w:rsidR="005C6352" w:rsidRPr="005C6352">
        <w:rPr>
          <w:rFonts w:cs="Arial"/>
          <w:sz w:val="22"/>
          <w:szCs w:val="22"/>
        </w:rPr>
        <w:t xml:space="preserve">Ausstellung </w:t>
      </w:r>
      <w:r w:rsidR="00FB0683">
        <w:rPr>
          <w:rFonts w:cs="Arial"/>
          <w:sz w:val="22"/>
          <w:szCs w:val="22"/>
        </w:rPr>
        <w:t>„</w:t>
      </w:r>
      <w:r w:rsidR="005C6352" w:rsidRPr="005C6352">
        <w:rPr>
          <w:rFonts w:cs="Arial"/>
          <w:sz w:val="22"/>
          <w:szCs w:val="22"/>
        </w:rPr>
        <w:t xml:space="preserve">Frühling im Herbst / </w:t>
      </w:r>
      <w:proofErr w:type="spellStart"/>
      <w:r w:rsidR="005C6352" w:rsidRPr="005C6352">
        <w:rPr>
          <w:rFonts w:cs="Arial"/>
          <w:sz w:val="22"/>
          <w:szCs w:val="22"/>
        </w:rPr>
        <w:t>Wiosna</w:t>
      </w:r>
      <w:proofErr w:type="spellEnd"/>
      <w:r w:rsidR="005C6352" w:rsidRPr="005C6352">
        <w:rPr>
          <w:rFonts w:cs="Arial"/>
          <w:sz w:val="22"/>
          <w:szCs w:val="22"/>
        </w:rPr>
        <w:t xml:space="preserve"> </w:t>
      </w:r>
      <w:proofErr w:type="spellStart"/>
      <w:r w:rsidR="005C6352" w:rsidRPr="005C6352">
        <w:rPr>
          <w:rFonts w:cs="Arial"/>
          <w:sz w:val="22"/>
          <w:szCs w:val="22"/>
        </w:rPr>
        <w:t>jes</w:t>
      </w:r>
      <w:r w:rsidR="00FB0683">
        <w:rPr>
          <w:rFonts w:cs="Arial"/>
          <w:sz w:val="22"/>
          <w:szCs w:val="22"/>
        </w:rPr>
        <w:t>ienią</w:t>
      </w:r>
      <w:proofErr w:type="spellEnd"/>
      <w:r w:rsidR="00FB0683">
        <w:rPr>
          <w:rFonts w:cs="Arial"/>
          <w:sz w:val="22"/>
          <w:szCs w:val="22"/>
        </w:rPr>
        <w:t xml:space="preserve"> / Le </w:t>
      </w:r>
      <w:proofErr w:type="spellStart"/>
      <w:r w:rsidR="00FB0683">
        <w:rPr>
          <w:rFonts w:cs="Arial"/>
          <w:sz w:val="22"/>
          <w:szCs w:val="22"/>
        </w:rPr>
        <w:t>printemps</w:t>
      </w:r>
      <w:proofErr w:type="spellEnd"/>
      <w:r w:rsidR="00FB0683">
        <w:rPr>
          <w:rFonts w:cs="Arial"/>
          <w:sz w:val="22"/>
          <w:szCs w:val="22"/>
        </w:rPr>
        <w:t xml:space="preserve"> en </w:t>
      </w:r>
      <w:proofErr w:type="spellStart"/>
      <w:r w:rsidR="00FB0683">
        <w:rPr>
          <w:rFonts w:cs="Arial"/>
          <w:sz w:val="22"/>
          <w:szCs w:val="22"/>
        </w:rPr>
        <w:t>automne</w:t>
      </w:r>
      <w:proofErr w:type="spellEnd"/>
      <w:r w:rsidR="00FB0683">
        <w:rPr>
          <w:rFonts w:cs="Arial"/>
          <w:sz w:val="22"/>
          <w:szCs w:val="22"/>
        </w:rPr>
        <w:t xml:space="preserve">. </w:t>
      </w:r>
      <w:r w:rsidR="005C6352" w:rsidRPr="005C6352">
        <w:rPr>
          <w:rFonts w:cs="Arial"/>
          <w:sz w:val="22"/>
          <w:szCs w:val="22"/>
        </w:rPr>
        <w:t>Vom polnischen November zum deutschen Mai. Das</w:t>
      </w:r>
      <w:r>
        <w:rPr>
          <w:rFonts w:cs="Arial"/>
          <w:sz w:val="22"/>
          <w:szCs w:val="22"/>
        </w:rPr>
        <w:t xml:space="preserve"> Europa der Nationen 1830-1832“ des </w:t>
      </w:r>
      <w:r w:rsidRPr="008A2793">
        <w:rPr>
          <w:rFonts w:cs="Arial"/>
          <w:sz w:val="22"/>
          <w:szCs w:val="22"/>
        </w:rPr>
        <w:t xml:space="preserve">Museums Europäischer Kulturen </w:t>
      </w:r>
      <w:r>
        <w:rPr>
          <w:rFonts w:cs="Arial"/>
          <w:sz w:val="22"/>
          <w:szCs w:val="22"/>
        </w:rPr>
        <w:t xml:space="preserve">/ </w:t>
      </w:r>
      <w:r w:rsidRPr="008A2793">
        <w:rPr>
          <w:rFonts w:cs="Arial"/>
          <w:sz w:val="22"/>
          <w:szCs w:val="22"/>
        </w:rPr>
        <w:t>Staatliche Museen zu Berlin</w:t>
      </w:r>
      <w:r>
        <w:rPr>
          <w:rFonts w:cs="Arial"/>
          <w:sz w:val="22"/>
          <w:szCs w:val="22"/>
        </w:rPr>
        <w:t xml:space="preserve"> </w:t>
      </w:r>
      <w:r w:rsidRPr="008A2793">
        <w:rPr>
          <w:rFonts w:cs="Arial"/>
          <w:sz w:val="22"/>
          <w:szCs w:val="22"/>
        </w:rPr>
        <w:t xml:space="preserve">in Verbindung mit dem Bundesarchiv </w:t>
      </w:r>
      <w:r w:rsidR="001B36F8">
        <w:rPr>
          <w:rFonts w:cs="Arial"/>
          <w:sz w:val="22"/>
          <w:szCs w:val="22"/>
        </w:rPr>
        <w:t>–</w:t>
      </w:r>
      <w:r w:rsidRPr="008A2793">
        <w:rPr>
          <w:rFonts w:cs="Arial"/>
          <w:sz w:val="22"/>
          <w:szCs w:val="22"/>
        </w:rPr>
        <w:t xml:space="preserve"> Erinnerungsstätte für die Freiheitsbewegungen in der deutschen Geschichte</w:t>
      </w:r>
    </w:p>
    <w:p w:rsidR="005C6352" w:rsidRDefault="007769E4" w:rsidP="005C635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hyperlink r:id="rId15" w:history="1">
        <w:r w:rsidR="005C6352" w:rsidRPr="00266B0D">
          <w:rPr>
            <w:rStyle w:val="Hyperlink"/>
            <w:rFonts w:cs="Arial"/>
            <w:sz w:val="22"/>
            <w:szCs w:val="22"/>
          </w:rPr>
          <w:t>http://www.verein-museum-europaeischer-kulturen.de/fih-beschreibung.htm</w:t>
        </w:r>
      </w:hyperlink>
    </w:p>
    <w:p w:rsidR="001B36F8" w:rsidRDefault="001B36F8">
      <w:pPr>
        <w:spacing w:after="0" w:line="240" w:lineRule="auto"/>
        <w:rPr>
          <w:sz w:val="22"/>
          <w:szCs w:val="20"/>
        </w:rPr>
      </w:pPr>
      <w:r>
        <w:br w:type="page"/>
      </w:r>
    </w:p>
    <w:p w:rsidR="00835A4E" w:rsidRDefault="00835A4E" w:rsidP="00835A4E">
      <w:pPr>
        <w:pStyle w:val="0berschrift3"/>
      </w:pPr>
      <w:r>
        <w:lastRenderedPageBreak/>
        <w:t>Weiterführende Literatur</w:t>
      </w:r>
    </w:p>
    <w:p w:rsidR="00976BC0" w:rsidRPr="00976BC0" w:rsidRDefault="00976BC0" w:rsidP="00976BC0">
      <w:pPr>
        <w:pStyle w:val="1Standardflietext"/>
      </w:pPr>
    </w:p>
    <w:p w:rsidR="005C6352" w:rsidRPr="005C6352" w:rsidRDefault="005C6352" w:rsidP="005C6352">
      <w:pPr>
        <w:autoSpaceDE w:val="0"/>
        <w:autoSpaceDN w:val="0"/>
        <w:adjustRightInd w:val="0"/>
        <w:spacing w:after="200" w:line="240" w:lineRule="exact"/>
        <w:rPr>
          <w:rFonts w:cs="Arial"/>
          <w:sz w:val="22"/>
          <w:szCs w:val="22"/>
        </w:rPr>
      </w:pPr>
      <w:proofErr w:type="spellStart"/>
      <w:r w:rsidRPr="005C6352">
        <w:rPr>
          <w:rFonts w:cs="Arial"/>
          <w:sz w:val="22"/>
          <w:szCs w:val="22"/>
        </w:rPr>
        <w:t>Bleiber</w:t>
      </w:r>
      <w:proofErr w:type="spellEnd"/>
      <w:r w:rsidRPr="005C6352">
        <w:rPr>
          <w:rFonts w:cs="Arial"/>
          <w:sz w:val="22"/>
          <w:szCs w:val="22"/>
        </w:rPr>
        <w:t xml:space="preserve">, Helmut; </w:t>
      </w:r>
      <w:proofErr w:type="spellStart"/>
      <w:r w:rsidRPr="005C6352">
        <w:rPr>
          <w:rFonts w:cs="Arial"/>
          <w:sz w:val="22"/>
          <w:szCs w:val="22"/>
        </w:rPr>
        <w:t>Kosim</w:t>
      </w:r>
      <w:proofErr w:type="spellEnd"/>
      <w:r w:rsidRPr="005C6352">
        <w:rPr>
          <w:rFonts w:cs="Arial"/>
          <w:sz w:val="22"/>
          <w:szCs w:val="22"/>
        </w:rPr>
        <w:t>, Jan (Hrsg.): Dokumente zur Ge</w:t>
      </w:r>
      <w:r>
        <w:rPr>
          <w:rFonts w:cs="Arial"/>
          <w:sz w:val="22"/>
          <w:szCs w:val="22"/>
        </w:rPr>
        <w:t xml:space="preserve">schichte der deutsch-polnischen </w:t>
      </w:r>
      <w:r w:rsidRPr="005C6352">
        <w:rPr>
          <w:rFonts w:cs="Arial"/>
          <w:sz w:val="22"/>
          <w:szCs w:val="22"/>
        </w:rPr>
        <w:t>Freundschaft 1830 –1832.</w:t>
      </w:r>
      <w:r>
        <w:rPr>
          <w:rFonts w:cs="Arial"/>
          <w:sz w:val="22"/>
          <w:szCs w:val="22"/>
        </w:rPr>
        <w:t xml:space="preserve"> Berlin: Akademie-Verlag 1982.</w:t>
      </w:r>
      <w:r>
        <w:rPr>
          <w:rFonts w:cs="Arial"/>
          <w:sz w:val="22"/>
          <w:szCs w:val="22"/>
        </w:rPr>
        <w:br/>
      </w:r>
      <w:r w:rsidRPr="005C6352">
        <w:rPr>
          <w:rFonts w:cs="Arial"/>
          <w:i/>
          <w:iCs/>
          <w:sz w:val="22"/>
          <w:szCs w:val="22"/>
        </w:rPr>
        <w:t>Umfassende Quellenedition mit detailliertem Orts- und Personenregister.</w:t>
      </w:r>
    </w:p>
    <w:p w:rsidR="00171599" w:rsidRDefault="00171599" w:rsidP="00171599">
      <w:pPr>
        <w:autoSpaceDE w:val="0"/>
        <w:autoSpaceDN w:val="0"/>
        <w:adjustRightInd w:val="0"/>
        <w:spacing w:after="200" w:line="240" w:lineRule="exact"/>
        <w:rPr>
          <w:rFonts w:cs="Arial"/>
          <w:sz w:val="22"/>
          <w:szCs w:val="22"/>
        </w:rPr>
      </w:pPr>
      <w:r w:rsidRPr="00171599">
        <w:rPr>
          <w:rFonts w:cs="Arial"/>
          <w:sz w:val="22"/>
          <w:szCs w:val="22"/>
        </w:rPr>
        <w:t>Brandt, Marion (Hrsg.): Solidarität mit Polen. Zur Geschichte und Gegenwart der deutschen Polenfreundschaft. Frankfurt, M.: Lang 2013.</w:t>
      </w:r>
    </w:p>
    <w:p w:rsidR="00171599" w:rsidRDefault="00171599" w:rsidP="00171599">
      <w:pPr>
        <w:autoSpaceDE w:val="0"/>
        <w:autoSpaceDN w:val="0"/>
        <w:adjustRightInd w:val="0"/>
        <w:spacing w:after="200" w:line="240" w:lineRule="exact"/>
        <w:rPr>
          <w:rFonts w:cs="Arial"/>
          <w:sz w:val="22"/>
          <w:szCs w:val="22"/>
        </w:rPr>
      </w:pPr>
      <w:proofErr w:type="spellStart"/>
      <w:r w:rsidRPr="00171599">
        <w:rPr>
          <w:rFonts w:cs="Arial"/>
          <w:sz w:val="22"/>
          <w:szCs w:val="22"/>
        </w:rPr>
        <w:t>Brudzyńska</w:t>
      </w:r>
      <w:proofErr w:type="spellEnd"/>
      <w:r w:rsidRPr="00171599">
        <w:rPr>
          <w:rFonts w:cs="Arial"/>
          <w:sz w:val="22"/>
          <w:szCs w:val="22"/>
        </w:rPr>
        <w:t xml:space="preserve">-Nemec, Gabriela: Polenvereine in Baden. Hilfeleistung süddeutscher Liberaler für die polnischen Freiheitskämpfer.1831 – 1832. Heidelberg: Winter 2006. </w:t>
      </w:r>
    </w:p>
    <w:p w:rsidR="00B33B92" w:rsidRPr="00171599" w:rsidRDefault="00B33B92" w:rsidP="00171599">
      <w:pPr>
        <w:autoSpaceDE w:val="0"/>
        <w:autoSpaceDN w:val="0"/>
        <w:adjustRightInd w:val="0"/>
        <w:spacing w:after="200" w:line="240" w:lineRule="exact"/>
        <w:rPr>
          <w:rFonts w:cs="Arial"/>
          <w:sz w:val="22"/>
          <w:szCs w:val="22"/>
        </w:rPr>
      </w:pPr>
      <w:proofErr w:type="spellStart"/>
      <w:r w:rsidRPr="00B33B92">
        <w:rPr>
          <w:rFonts w:eastAsia="Calibri" w:cs="Arial"/>
          <w:sz w:val="22"/>
          <w:szCs w:val="22"/>
          <w:lang w:eastAsia="en-US"/>
        </w:rPr>
        <w:t>Ehlen</w:t>
      </w:r>
      <w:proofErr w:type="spellEnd"/>
      <w:r w:rsidRPr="00B33B92">
        <w:rPr>
          <w:rFonts w:eastAsia="Calibri" w:cs="Arial"/>
          <w:sz w:val="22"/>
          <w:szCs w:val="22"/>
          <w:lang w:eastAsia="en-US"/>
        </w:rPr>
        <w:t xml:space="preserve">, Peter (Hrsg.): Der polnische Freiheitskampf 1830/1831 und die liberale deutsche Polenfreundschaft. München: </w:t>
      </w:r>
      <w:proofErr w:type="spellStart"/>
      <w:r w:rsidRPr="00B33B92">
        <w:rPr>
          <w:rFonts w:eastAsia="Calibri" w:cs="Arial"/>
          <w:sz w:val="22"/>
          <w:szCs w:val="22"/>
          <w:lang w:eastAsia="en-US"/>
        </w:rPr>
        <w:t>Berchman</w:t>
      </w:r>
      <w:proofErr w:type="spellEnd"/>
      <w:r w:rsidRPr="00B33B92">
        <w:rPr>
          <w:rFonts w:eastAsia="Calibri" w:cs="Arial"/>
          <w:sz w:val="22"/>
          <w:szCs w:val="22"/>
          <w:lang w:eastAsia="en-US"/>
        </w:rPr>
        <w:t xml:space="preserve"> 1982.</w:t>
      </w:r>
    </w:p>
    <w:p w:rsidR="005C6352" w:rsidRPr="005C6352" w:rsidRDefault="005C6352" w:rsidP="005C6352">
      <w:pPr>
        <w:autoSpaceDE w:val="0"/>
        <w:autoSpaceDN w:val="0"/>
        <w:adjustRightInd w:val="0"/>
        <w:spacing w:after="200" w:line="240" w:lineRule="exact"/>
        <w:rPr>
          <w:rFonts w:cs="Arial"/>
          <w:sz w:val="22"/>
          <w:szCs w:val="22"/>
        </w:rPr>
      </w:pPr>
      <w:r w:rsidRPr="005C6352">
        <w:rPr>
          <w:rFonts w:cs="Arial"/>
          <w:sz w:val="22"/>
          <w:szCs w:val="22"/>
        </w:rPr>
        <w:t>Escher, Felix; Vietig, Jürgen (Hrsg.): Deutsche und Polen. Eine Chronik. Begleitbuch zu</w:t>
      </w:r>
      <w:r>
        <w:rPr>
          <w:rFonts w:cs="Arial"/>
          <w:sz w:val="22"/>
          <w:szCs w:val="22"/>
        </w:rPr>
        <w:t xml:space="preserve">r vierteiligen ARD-Fernsehreihe </w:t>
      </w:r>
      <w:r w:rsidR="00190920">
        <w:rPr>
          <w:rFonts w:cs="Arial"/>
          <w:sz w:val="22"/>
          <w:szCs w:val="22"/>
        </w:rPr>
        <w:t>„</w:t>
      </w:r>
      <w:r w:rsidRPr="005C6352">
        <w:rPr>
          <w:rFonts w:cs="Arial"/>
          <w:sz w:val="22"/>
          <w:szCs w:val="22"/>
        </w:rPr>
        <w:t>Deutsche und Polen</w:t>
      </w:r>
      <w:r w:rsidR="00190920">
        <w:rPr>
          <w:rFonts w:cs="Arial"/>
          <w:sz w:val="22"/>
          <w:szCs w:val="22"/>
        </w:rPr>
        <w:t>“</w:t>
      </w:r>
      <w:r w:rsidR="00F87071">
        <w:rPr>
          <w:rFonts w:cs="Arial"/>
          <w:sz w:val="22"/>
          <w:szCs w:val="22"/>
        </w:rPr>
        <w:t>.</w:t>
      </w:r>
      <w:r w:rsidRPr="005C6352">
        <w:rPr>
          <w:rFonts w:cs="Arial"/>
          <w:sz w:val="22"/>
          <w:szCs w:val="22"/>
        </w:rPr>
        <w:t xml:space="preserve"> Berlin: Nicolai 2002. Hier insbesondere das Kapitel </w:t>
      </w:r>
      <w:r w:rsidR="00190920" w:rsidRPr="001B36F8">
        <w:rPr>
          <w:rFonts w:cs="Arial"/>
          <w:sz w:val="22"/>
          <w:szCs w:val="22"/>
        </w:rPr>
        <w:t>„</w:t>
      </w:r>
      <w:r w:rsidRPr="001B36F8">
        <w:rPr>
          <w:rFonts w:cs="Arial"/>
          <w:sz w:val="22"/>
          <w:szCs w:val="22"/>
        </w:rPr>
        <w:t>Noch ist Polen nicht verloren.</w:t>
      </w:r>
      <w:r>
        <w:rPr>
          <w:rFonts w:cs="Arial"/>
          <w:sz w:val="22"/>
          <w:szCs w:val="22"/>
        </w:rPr>
        <w:t xml:space="preserve"> Das Trauma der </w:t>
      </w:r>
      <w:r w:rsidRPr="005C6352">
        <w:rPr>
          <w:rFonts w:cs="Arial"/>
          <w:sz w:val="22"/>
          <w:szCs w:val="22"/>
        </w:rPr>
        <w:t>Teilungen</w:t>
      </w:r>
      <w:r w:rsidR="00190920">
        <w:rPr>
          <w:rFonts w:cs="Arial"/>
          <w:sz w:val="22"/>
          <w:szCs w:val="22"/>
        </w:rPr>
        <w:t>“,</w:t>
      </w:r>
      <w:r w:rsidR="00AC3D5C">
        <w:rPr>
          <w:rFonts w:cs="Arial"/>
          <w:sz w:val="22"/>
          <w:szCs w:val="22"/>
        </w:rPr>
        <w:t xml:space="preserve"> S. 71-</w:t>
      </w:r>
      <w:r>
        <w:rPr>
          <w:rFonts w:cs="Arial"/>
          <w:sz w:val="22"/>
          <w:szCs w:val="22"/>
        </w:rPr>
        <w:t>115.</w:t>
      </w:r>
      <w:r>
        <w:rPr>
          <w:rFonts w:cs="Arial"/>
          <w:sz w:val="22"/>
          <w:szCs w:val="22"/>
        </w:rPr>
        <w:br/>
      </w:r>
      <w:r w:rsidRPr="005C6352">
        <w:rPr>
          <w:rFonts w:cs="Arial"/>
          <w:i/>
          <w:iCs/>
          <w:sz w:val="22"/>
          <w:szCs w:val="22"/>
        </w:rPr>
        <w:t>Zuverlässige, sehr verständlich geschriebene Darstellung, reich illustriert.</w:t>
      </w:r>
    </w:p>
    <w:p w:rsidR="005C6352" w:rsidRDefault="005C6352" w:rsidP="005C6352">
      <w:pPr>
        <w:autoSpaceDE w:val="0"/>
        <w:autoSpaceDN w:val="0"/>
        <w:adjustRightInd w:val="0"/>
        <w:spacing w:after="200" w:line="240" w:lineRule="exact"/>
        <w:rPr>
          <w:rFonts w:cs="Arial"/>
          <w:i/>
          <w:iCs/>
          <w:sz w:val="22"/>
          <w:szCs w:val="22"/>
        </w:rPr>
      </w:pPr>
      <w:r w:rsidRPr="005C6352">
        <w:rPr>
          <w:rFonts w:cs="Arial"/>
          <w:sz w:val="22"/>
          <w:szCs w:val="22"/>
        </w:rPr>
        <w:t xml:space="preserve">Größe, Wolf-Rüdiger: </w:t>
      </w:r>
      <w:r w:rsidR="00190920">
        <w:rPr>
          <w:rFonts w:cs="Arial"/>
          <w:sz w:val="22"/>
          <w:szCs w:val="22"/>
        </w:rPr>
        <w:t>„</w:t>
      </w:r>
      <w:r w:rsidRPr="005C6352">
        <w:rPr>
          <w:rFonts w:cs="Arial"/>
          <w:sz w:val="22"/>
          <w:szCs w:val="22"/>
        </w:rPr>
        <w:t>Für unsere und eure Freiheit…</w:t>
      </w:r>
      <w:r w:rsidR="00190920">
        <w:rPr>
          <w:rFonts w:cs="Arial"/>
          <w:sz w:val="22"/>
          <w:szCs w:val="22"/>
        </w:rPr>
        <w:t>“</w:t>
      </w:r>
      <w:r w:rsidRPr="005C6352">
        <w:rPr>
          <w:rFonts w:cs="Arial"/>
          <w:sz w:val="22"/>
          <w:szCs w:val="22"/>
        </w:rPr>
        <w:t xml:space="preserve"> – der Novemberaufstand 1830/31. In</w:t>
      </w:r>
      <w:r>
        <w:rPr>
          <w:rFonts w:cs="Arial"/>
          <w:sz w:val="22"/>
          <w:szCs w:val="22"/>
        </w:rPr>
        <w:t xml:space="preserve">: Deutschland und Europa. Polen </w:t>
      </w:r>
      <w:r w:rsidRPr="005C6352">
        <w:rPr>
          <w:rFonts w:cs="Arial"/>
          <w:sz w:val="22"/>
          <w:szCs w:val="22"/>
        </w:rPr>
        <w:t>in Europa. Hrsg. von der Landeszentrale für politische Bildung Baden-Württemberg. Reihe für P</w:t>
      </w:r>
      <w:r>
        <w:rPr>
          <w:rFonts w:cs="Arial"/>
          <w:sz w:val="22"/>
          <w:szCs w:val="22"/>
        </w:rPr>
        <w:t xml:space="preserve">olitik, Geschichte, Geographie, </w:t>
      </w:r>
      <w:r w:rsidR="00F32FAB">
        <w:rPr>
          <w:rFonts w:cs="Arial"/>
          <w:sz w:val="22"/>
          <w:szCs w:val="22"/>
        </w:rPr>
        <w:t>Deutsch, Kunst. H.</w:t>
      </w:r>
      <w:r w:rsidRPr="005C6352">
        <w:rPr>
          <w:rFonts w:cs="Arial"/>
          <w:sz w:val="22"/>
          <w:szCs w:val="22"/>
        </w:rPr>
        <w:t xml:space="preserve">37. Dezember 1998. Internet: </w:t>
      </w:r>
      <w:hyperlink r:id="rId16" w:history="1">
        <w:r w:rsidR="001B36F8" w:rsidRPr="00F2719B">
          <w:rPr>
            <w:rStyle w:val="Hyperlink"/>
            <w:rFonts w:cs="Arial"/>
            <w:sz w:val="22"/>
            <w:szCs w:val="22"/>
          </w:rPr>
          <w:t>http://www.lpb.bwue.de/aktuell/due/37_98/due37a.htm</w:t>
        </w:r>
      </w:hyperlink>
      <w:r w:rsidR="001B36F8">
        <w:rPr>
          <w:rFonts w:cs="Arial"/>
          <w:sz w:val="22"/>
          <w:szCs w:val="22"/>
        </w:rPr>
        <w:t xml:space="preserve"> </w:t>
      </w:r>
      <w:r w:rsidR="001B36F8">
        <w:rPr>
          <w:rFonts w:cs="Arial"/>
          <w:sz w:val="22"/>
          <w:szCs w:val="22"/>
        </w:rPr>
        <w:br/>
      </w:r>
      <w:r w:rsidRPr="005C6352">
        <w:rPr>
          <w:rFonts w:cs="Arial"/>
          <w:i/>
          <w:iCs/>
          <w:sz w:val="22"/>
          <w:szCs w:val="22"/>
        </w:rPr>
        <w:t>Knappe Darstellung, zahlreiche Quellen und Materialien.</w:t>
      </w:r>
    </w:p>
    <w:p w:rsidR="00171599" w:rsidRPr="005C6352" w:rsidRDefault="00171599" w:rsidP="005C6352">
      <w:pPr>
        <w:autoSpaceDE w:val="0"/>
        <w:autoSpaceDN w:val="0"/>
        <w:adjustRightInd w:val="0"/>
        <w:spacing w:after="200" w:line="240" w:lineRule="exact"/>
        <w:rPr>
          <w:rFonts w:cs="Arial"/>
          <w:sz w:val="22"/>
          <w:szCs w:val="22"/>
        </w:rPr>
      </w:pPr>
      <w:proofErr w:type="spellStart"/>
      <w:r w:rsidRPr="00171599">
        <w:rPr>
          <w:rFonts w:cs="Arial"/>
          <w:sz w:val="22"/>
          <w:szCs w:val="22"/>
        </w:rPr>
        <w:t>Kermann</w:t>
      </w:r>
      <w:proofErr w:type="spellEnd"/>
      <w:r w:rsidRPr="00171599">
        <w:rPr>
          <w:rFonts w:cs="Arial"/>
          <w:sz w:val="22"/>
          <w:szCs w:val="22"/>
        </w:rPr>
        <w:t xml:space="preserve">, Joachim  (Hrsg.): Die deutsch-polnischen Beziehungen zur Zeit des Hambacher Festes. Anlässlich der 150jährigen Wiederkehr des Hambacher Festes und zur Unterstützung des Schülerwettbewerbs </w:t>
      </w:r>
      <w:r w:rsidR="001B36F8">
        <w:rPr>
          <w:rFonts w:cs="Arial"/>
          <w:sz w:val="22"/>
          <w:szCs w:val="22"/>
        </w:rPr>
        <w:t>„</w:t>
      </w:r>
      <w:r w:rsidRPr="00171599">
        <w:rPr>
          <w:rFonts w:cs="Arial"/>
          <w:sz w:val="22"/>
          <w:szCs w:val="22"/>
        </w:rPr>
        <w:t xml:space="preserve">Die Deutschen und ihre östlichen Nachbarn". Speyer: Landesarchiv Speyer 1981. </w:t>
      </w:r>
    </w:p>
    <w:p w:rsidR="005C6352" w:rsidRPr="005C6352" w:rsidRDefault="005C6352" w:rsidP="005C6352">
      <w:pPr>
        <w:autoSpaceDE w:val="0"/>
        <w:autoSpaceDN w:val="0"/>
        <w:adjustRightInd w:val="0"/>
        <w:spacing w:after="200" w:line="240" w:lineRule="exact"/>
        <w:rPr>
          <w:rFonts w:cs="Arial"/>
          <w:sz w:val="22"/>
          <w:szCs w:val="22"/>
        </w:rPr>
      </w:pPr>
      <w:r w:rsidRPr="005C6352">
        <w:rPr>
          <w:rFonts w:cs="Arial"/>
          <w:sz w:val="22"/>
          <w:szCs w:val="22"/>
        </w:rPr>
        <w:t xml:space="preserve">Koenen, Gerd: </w:t>
      </w:r>
      <w:r w:rsidR="007329D1">
        <w:rPr>
          <w:rFonts w:cs="Arial"/>
          <w:sz w:val="22"/>
          <w:szCs w:val="22"/>
        </w:rPr>
        <w:t>„</w:t>
      </w:r>
      <w:r w:rsidRPr="005C6352">
        <w:rPr>
          <w:rFonts w:cs="Arial"/>
          <w:sz w:val="22"/>
          <w:szCs w:val="22"/>
        </w:rPr>
        <w:t>Vormärz</w:t>
      </w:r>
      <w:r w:rsidR="007329D1">
        <w:rPr>
          <w:rFonts w:cs="Arial"/>
          <w:sz w:val="22"/>
          <w:szCs w:val="22"/>
        </w:rPr>
        <w:t>“</w:t>
      </w:r>
      <w:r w:rsidRPr="005C6352">
        <w:rPr>
          <w:rFonts w:cs="Arial"/>
          <w:sz w:val="22"/>
          <w:szCs w:val="22"/>
        </w:rPr>
        <w:t xml:space="preserve"> und </w:t>
      </w:r>
      <w:r w:rsidR="007329D1">
        <w:rPr>
          <w:rFonts w:cs="Arial"/>
          <w:sz w:val="22"/>
          <w:szCs w:val="22"/>
        </w:rPr>
        <w:t>„</w:t>
      </w:r>
      <w:r w:rsidRPr="005C6352">
        <w:rPr>
          <w:rFonts w:cs="Arial"/>
          <w:sz w:val="22"/>
          <w:szCs w:val="22"/>
        </w:rPr>
        <w:t>Völkerfrühling</w:t>
      </w:r>
      <w:r w:rsidR="007329D1">
        <w:rPr>
          <w:rFonts w:cs="Arial"/>
          <w:sz w:val="22"/>
          <w:szCs w:val="22"/>
        </w:rPr>
        <w:t>“</w:t>
      </w:r>
      <w:r w:rsidRPr="005C6352">
        <w:rPr>
          <w:rFonts w:cs="Arial"/>
          <w:sz w:val="22"/>
          <w:szCs w:val="22"/>
        </w:rPr>
        <w:t xml:space="preserve"> – ein deutsch-polnischer Honigmond? In: Deutsche un</w:t>
      </w:r>
      <w:r>
        <w:rPr>
          <w:rFonts w:cs="Arial"/>
          <w:sz w:val="22"/>
          <w:szCs w:val="22"/>
        </w:rPr>
        <w:t xml:space="preserve">d Polen. 100 Schlüsselbegriffe. </w:t>
      </w:r>
      <w:r w:rsidRPr="005C6352">
        <w:rPr>
          <w:rFonts w:cs="Arial"/>
          <w:sz w:val="22"/>
          <w:szCs w:val="22"/>
        </w:rPr>
        <w:t xml:space="preserve">Hrsg. v. Ewa </w:t>
      </w:r>
      <w:proofErr w:type="spellStart"/>
      <w:r w:rsidRPr="005C6352">
        <w:rPr>
          <w:rFonts w:cs="Arial"/>
          <w:sz w:val="22"/>
          <w:szCs w:val="22"/>
        </w:rPr>
        <w:t>Kobylińska</w:t>
      </w:r>
      <w:proofErr w:type="spellEnd"/>
      <w:r w:rsidRPr="005C6352">
        <w:rPr>
          <w:rFonts w:cs="Arial"/>
          <w:sz w:val="22"/>
          <w:szCs w:val="22"/>
        </w:rPr>
        <w:t xml:space="preserve">, Andreas </w:t>
      </w:r>
      <w:proofErr w:type="spellStart"/>
      <w:r w:rsidRPr="005C6352">
        <w:rPr>
          <w:rFonts w:cs="Arial"/>
          <w:sz w:val="22"/>
          <w:szCs w:val="22"/>
        </w:rPr>
        <w:t>Lawaty</w:t>
      </w:r>
      <w:proofErr w:type="spellEnd"/>
      <w:r w:rsidRPr="005C6352">
        <w:rPr>
          <w:rFonts w:cs="Arial"/>
          <w:sz w:val="22"/>
          <w:szCs w:val="22"/>
        </w:rPr>
        <w:t xml:space="preserve"> und Rüdiger Steph</w:t>
      </w:r>
      <w:r w:rsidR="00AC3D5C">
        <w:rPr>
          <w:rFonts w:cs="Arial"/>
          <w:sz w:val="22"/>
          <w:szCs w:val="22"/>
        </w:rPr>
        <w:t>an. München: Piper 1992, S. 79-</w:t>
      </w:r>
      <w:r w:rsidRPr="005C6352">
        <w:rPr>
          <w:rFonts w:cs="Arial"/>
          <w:sz w:val="22"/>
          <w:szCs w:val="22"/>
        </w:rPr>
        <w:t>84.</w:t>
      </w:r>
    </w:p>
    <w:p w:rsidR="005C6352" w:rsidRPr="005C6352" w:rsidRDefault="005C6352" w:rsidP="005C6352">
      <w:pPr>
        <w:autoSpaceDE w:val="0"/>
        <w:autoSpaceDN w:val="0"/>
        <w:adjustRightInd w:val="0"/>
        <w:spacing w:after="200" w:line="240" w:lineRule="auto"/>
        <w:rPr>
          <w:rFonts w:cs="Arial"/>
          <w:sz w:val="22"/>
          <w:szCs w:val="22"/>
        </w:rPr>
      </w:pPr>
      <w:proofErr w:type="spellStart"/>
      <w:r w:rsidRPr="005C6352">
        <w:rPr>
          <w:rFonts w:cs="Arial"/>
          <w:sz w:val="22"/>
          <w:szCs w:val="22"/>
        </w:rPr>
        <w:t>Langewiesche</w:t>
      </w:r>
      <w:proofErr w:type="spellEnd"/>
      <w:r w:rsidRPr="005C6352">
        <w:rPr>
          <w:rFonts w:cs="Arial"/>
          <w:sz w:val="22"/>
          <w:szCs w:val="22"/>
        </w:rPr>
        <w:t>, Dieter: Humanitäre Massenbewegung und politisches Bekenntnis. Polenbeg</w:t>
      </w:r>
      <w:r>
        <w:rPr>
          <w:rFonts w:cs="Arial"/>
          <w:sz w:val="22"/>
          <w:szCs w:val="22"/>
        </w:rPr>
        <w:t xml:space="preserve">eisterung in Südwestdeutschland </w:t>
      </w:r>
      <w:r w:rsidRPr="005C6352">
        <w:rPr>
          <w:rFonts w:cs="Arial"/>
          <w:sz w:val="22"/>
          <w:szCs w:val="22"/>
        </w:rPr>
        <w:t>1830</w:t>
      </w:r>
      <w:r w:rsidR="007329D1">
        <w:rPr>
          <w:rFonts w:cs="Arial"/>
          <w:sz w:val="22"/>
          <w:szCs w:val="22"/>
        </w:rPr>
        <w:t>-</w:t>
      </w:r>
      <w:r w:rsidRPr="005C6352">
        <w:rPr>
          <w:rFonts w:cs="Arial"/>
          <w:sz w:val="22"/>
          <w:szCs w:val="22"/>
        </w:rPr>
        <w:t>1832. In: Blick zurück ohne Zorn. Polen und Deutsche in Geschichte und Gegenw</w:t>
      </w:r>
      <w:r>
        <w:rPr>
          <w:rFonts w:cs="Arial"/>
          <w:sz w:val="22"/>
          <w:szCs w:val="22"/>
        </w:rPr>
        <w:t xml:space="preserve">art. Hrsg. von Dietrich </w:t>
      </w:r>
      <w:proofErr w:type="spellStart"/>
      <w:r>
        <w:rPr>
          <w:rFonts w:cs="Arial"/>
          <w:sz w:val="22"/>
          <w:szCs w:val="22"/>
        </w:rPr>
        <w:t>Beyrau</w:t>
      </w:r>
      <w:proofErr w:type="spellEnd"/>
      <w:r>
        <w:rPr>
          <w:rFonts w:cs="Arial"/>
          <w:sz w:val="22"/>
          <w:szCs w:val="22"/>
        </w:rPr>
        <w:t>.</w:t>
      </w:r>
      <w:r w:rsidR="001B36F8">
        <w:rPr>
          <w:rFonts w:cs="Arial"/>
          <w:sz w:val="22"/>
          <w:szCs w:val="22"/>
        </w:rPr>
        <w:t xml:space="preserve"> </w:t>
      </w:r>
      <w:r w:rsidRPr="005C6352">
        <w:rPr>
          <w:rFonts w:cs="Arial"/>
          <w:sz w:val="22"/>
          <w:szCs w:val="22"/>
        </w:rPr>
        <w:t>Tübingen</w:t>
      </w:r>
      <w:r w:rsidR="001B36F8">
        <w:rPr>
          <w:rFonts w:cs="Arial"/>
          <w:sz w:val="22"/>
          <w:szCs w:val="22"/>
        </w:rPr>
        <w:t xml:space="preserve">: </w:t>
      </w:r>
      <w:proofErr w:type="spellStart"/>
      <w:r w:rsidR="001B36F8">
        <w:rPr>
          <w:rFonts w:cs="Arial"/>
          <w:sz w:val="22"/>
          <w:szCs w:val="22"/>
        </w:rPr>
        <w:t>Attempto</w:t>
      </w:r>
      <w:proofErr w:type="spellEnd"/>
      <w:r w:rsidR="001B36F8">
        <w:rPr>
          <w:rFonts w:cs="Arial"/>
          <w:sz w:val="22"/>
          <w:szCs w:val="22"/>
        </w:rPr>
        <w:t xml:space="preserve"> Verlag</w:t>
      </w:r>
      <w:r w:rsidRPr="005C6352">
        <w:rPr>
          <w:rFonts w:cs="Arial"/>
          <w:sz w:val="22"/>
          <w:szCs w:val="22"/>
        </w:rPr>
        <w:t xml:space="preserve"> 1999, S. 11–37.</w:t>
      </w:r>
    </w:p>
    <w:p w:rsidR="005C6352" w:rsidRPr="005C6352" w:rsidRDefault="005C6352" w:rsidP="005C6352">
      <w:pPr>
        <w:autoSpaceDE w:val="0"/>
        <w:autoSpaceDN w:val="0"/>
        <w:adjustRightInd w:val="0"/>
        <w:spacing w:after="200" w:line="240" w:lineRule="auto"/>
        <w:rPr>
          <w:rFonts w:cs="Arial"/>
          <w:sz w:val="22"/>
          <w:szCs w:val="22"/>
        </w:rPr>
      </w:pPr>
      <w:proofErr w:type="spellStart"/>
      <w:r w:rsidRPr="005C6352">
        <w:rPr>
          <w:rFonts w:cs="Arial"/>
          <w:sz w:val="22"/>
          <w:szCs w:val="22"/>
        </w:rPr>
        <w:t>Michalka</w:t>
      </w:r>
      <w:proofErr w:type="spellEnd"/>
      <w:r w:rsidRPr="005C6352">
        <w:rPr>
          <w:rFonts w:cs="Arial"/>
          <w:sz w:val="22"/>
          <w:szCs w:val="22"/>
        </w:rPr>
        <w:t xml:space="preserve">, Wolfgang; Rautenberg, </w:t>
      </w:r>
      <w:proofErr w:type="spellStart"/>
      <w:r w:rsidRPr="005C6352">
        <w:rPr>
          <w:rFonts w:cs="Arial"/>
          <w:sz w:val="22"/>
          <w:szCs w:val="22"/>
        </w:rPr>
        <w:t>Erardo</w:t>
      </w:r>
      <w:proofErr w:type="spellEnd"/>
      <w:r w:rsidRPr="005C6352">
        <w:rPr>
          <w:rFonts w:cs="Arial"/>
          <w:sz w:val="22"/>
          <w:szCs w:val="22"/>
        </w:rPr>
        <w:t xml:space="preserve"> C.; Vanja, Konrad (Hrsg.): Polenbegeist</w:t>
      </w:r>
      <w:r>
        <w:rPr>
          <w:rFonts w:cs="Arial"/>
          <w:sz w:val="22"/>
          <w:szCs w:val="22"/>
        </w:rPr>
        <w:t>erung. Ein Beitrag im Deutsch-</w:t>
      </w:r>
      <w:r w:rsidRPr="005C6352">
        <w:rPr>
          <w:rFonts w:cs="Arial"/>
          <w:sz w:val="22"/>
          <w:szCs w:val="22"/>
        </w:rPr>
        <w:t xml:space="preserve">Polnischen Jahr 2005/2006 zur Wanderausstellung </w:t>
      </w:r>
      <w:r w:rsidR="007329D1">
        <w:rPr>
          <w:rFonts w:cs="Arial"/>
          <w:sz w:val="22"/>
          <w:szCs w:val="22"/>
        </w:rPr>
        <w:t>„</w:t>
      </w:r>
      <w:r w:rsidRPr="005C6352">
        <w:rPr>
          <w:rFonts w:cs="Arial"/>
          <w:sz w:val="22"/>
          <w:szCs w:val="22"/>
        </w:rPr>
        <w:t>Frühling im Herbst. Vom polnischen November zum deutschen Mai.</w:t>
      </w:r>
      <w:r w:rsidR="007329D1">
        <w:rPr>
          <w:rFonts w:cs="Arial"/>
          <w:sz w:val="22"/>
          <w:szCs w:val="22"/>
        </w:rPr>
        <w:t xml:space="preserve"> </w:t>
      </w:r>
      <w:r w:rsidRPr="005C6352">
        <w:rPr>
          <w:rFonts w:cs="Arial"/>
          <w:sz w:val="22"/>
          <w:szCs w:val="22"/>
        </w:rPr>
        <w:t>Das Europa der Nationen 1830 –18</w:t>
      </w:r>
      <w:r>
        <w:rPr>
          <w:rFonts w:cs="Arial"/>
          <w:sz w:val="22"/>
          <w:szCs w:val="22"/>
        </w:rPr>
        <w:t>32</w:t>
      </w:r>
      <w:r w:rsidR="007329D1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. Berlin: Kupfergraben 2005.</w:t>
      </w:r>
      <w:r>
        <w:rPr>
          <w:rFonts w:cs="Arial"/>
          <w:sz w:val="22"/>
          <w:szCs w:val="22"/>
        </w:rPr>
        <w:br/>
      </w:r>
      <w:r w:rsidRPr="005C6352">
        <w:rPr>
          <w:rFonts w:cs="Arial"/>
          <w:i/>
          <w:iCs/>
          <w:sz w:val="22"/>
          <w:szCs w:val="22"/>
        </w:rPr>
        <w:t>Reich illustrierter Ausstellungskatalog, u.</w:t>
      </w:r>
      <w:r w:rsidR="007329D1">
        <w:rPr>
          <w:rFonts w:cs="Arial"/>
          <w:i/>
          <w:iCs/>
          <w:sz w:val="22"/>
          <w:szCs w:val="22"/>
        </w:rPr>
        <w:t> </w:t>
      </w:r>
      <w:r w:rsidRPr="005C6352">
        <w:rPr>
          <w:rFonts w:cs="Arial"/>
          <w:i/>
          <w:iCs/>
          <w:sz w:val="22"/>
          <w:szCs w:val="22"/>
        </w:rPr>
        <w:t xml:space="preserve">a. mit Hinweisen für die Arbeit mit </w:t>
      </w:r>
      <w:proofErr w:type="spellStart"/>
      <w:r w:rsidRPr="005C6352">
        <w:rPr>
          <w:rFonts w:cs="Arial"/>
          <w:i/>
          <w:iCs/>
          <w:sz w:val="22"/>
          <w:szCs w:val="22"/>
        </w:rPr>
        <w:t>Schüler</w:t>
      </w:r>
      <w:r w:rsidR="007329D1">
        <w:rPr>
          <w:rFonts w:cs="Arial"/>
          <w:i/>
          <w:iCs/>
          <w:sz w:val="22"/>
          <w:szCs w:val="22"/>
        </w:rPr>
        <w:t>Inne</w:t>
      </w:r>
      <w:r w:rsidRPr="005C6352">
        <w:rPr>
          <w:rFonts w:cs="Arial"/>
          <w:i/>
          <w:iCs/>
          <w:sz w:val="22"/>
          <w:szCs w:val="22"/>
        </w:rPr>
        <w:t>n</w:t>
      </w:r>
      <w:proofErr w:type="spellEnd"/>
      <w:r w:rsidRPr="005C6352">
        <w:rPr>
          <w:rFonts w:cs="Arial"/>
          <w:i/>
          <w:iCs/>
          <w:sz w:val="22"/>
          <w:szCs w:val="22"/>
        </w:rPr>
        <w:t xml:space="preserve"> in der Ausstellung.</w:t>
      </w:r>
    </w:p>
    <w:p w:rsidR="005C6352" w:rsidRPr="005C6352" w:rsidRDefault="005C6352" w:rsidP="005C635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5C6352">
        <w:rPr>
          <w:rFonts w:cs="Arial"/>
          <w:sz w:val="22"/>
          <w:szCs w:val="22"/>
        </w:rPr>
        <w:t xml:space="preserve">Müller, Michael G.; Schönemann, Bernd; </w:t>
      </w:r>
      <w:proofErr w:type="spellStart"/>
      <w:r w:rsidRPr="005C6352">
        <w:rPr>
          <w:rFonts w:cs="Arial"/>
          <w:sz w:val="22"/>
          <w:szCs w:val="22"/>
        </w:rPr>
        <w:t>Wawrykowa</w:t>
      </w:r>
      <w:proofErr w:type="spellEnd"/>
      <w:r w:rsidRPr="005C6352">
        <w:rPr>
          <w:rFonts w:cs="Arial"/>
          <w:sz w:val="22"/>
          <w:szCs w:val="22"/>
        </w:rPr>
        <w:t xml:space="preserve">, Maria: Die </w:t>
      </w:r>
      <w:r w:rsidR="007329D1">
        <w:rPr>
          <w:rFonts w:cs="Arial"/>
          <w:sz w:val="22"/>
          <w:szCs w:val="22"/>
        </w:rPr>
        <w:t>„</w:t>
      </w:r>
      <w:r w:rsidRPr="005C6352">
        <w:rPr>
          <w:rFonts w:cs="Arial"/>
          <w:sz w:val="22"/>
          <w:szCs w:val="22"/>
        </w:rPr>
        <w:t>Polen-Debatte</w:t>
      </w:r>
      <w:r w:rsidR="007329D1">
        <w:rPr>
          <w:rFonts w:cs="Arial"/>
          <w:sz w:val="22"/>
          <w:szCs w:val="22"/>
        </w:rPr>
        <w:t>“</w:t>
      </w:r>
      <w:r w:rsidRPr="005C63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der Frankfurter Paulskirche. </w:t>
      </w:r>
      <w:r w:rsidRPr="005C6352">
        <w:rPr>
          <w:rFonts w:cs="Arial"/>
          <w:sz w:val="22"/>
          <w:szCs w:val="22"/>
        </w:rPr>
        <w:t>Darstellung, Lernziele, Materialien (= Studien zur Internationalen Schulbuchforschung. Bd. 82/B</w:t>
      </w:r>
      <w:r>
        <w:rPr>
          <w:rFonts w:cs="Arial"/>
          <w:sz w:val="22"/>
          <w:szCs w:val="22"/>
        </w:rPr>
        <w:t xml:space="preserve">II). Frankfurt/Main: </w:t>
      </w:r>
      <w:proofErr w:type="spellStart"/>
      <w:r>
        <w:rPr>
          <w:rFonts w:cs="Arial"/>
          <w:sz w:val="22"/>
          <w:szCs w:val="22"/>
        </w:rPr>
        <w:t>Diesterweg</w:t>
      </w:r>
      <w:proofErr w:type="spellEnd"/>
      <w:r>
        <w:rPr>
          <w:rFonts w:cs="Arial"/>
          <w:sz w:val="22"/>
          <w:szCs w:val="22"/>
        </w:rPr>
        <w:t xml:space="preserve"> </w:t>
      </w:r>
      <w:r w:rsidRPr="005C6352">
        <w:rPr>
          <w:rFonts w:cs="Arial"/>
          <w:sz w:val="22"/>
          <w:szCs w:val="22"/>
        </w:rPr>
        <w:t>1995.</w:t>
      </w:r>
    </w:p>
    <w:p w:rsidR="005C6352" w:rsidRDefault="005C6352" w:rsidP="005C635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  <w:r w:rsidRPr="005C6352">
        <w:rPr>
          <w:rFonts w:cs="Arial"/>
          <w:i/>
          <w:iCs/>
          <w:sz w:val="22"/>
          <w:szCs w:val="22"/>
        </w:rPr>
        <w:t>Guter Überblick mit Quellenmaterialien.</w:t>
      </w:r>
    </w:p>
    <w:p w:rsidR="007329D1" w:rsidRPr="005C6352" w:rsidRDefault="007329D1" w:rsidP="005C635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5C6352" w:rsidRPr="005C6352" w:rsidRDefault="005C6352" w:rsidP="005C635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proofErr w:type="spellStart"/>
      <w:r w:rsidRPr="005C6352">
        <w:rPr>
          <w:rFonts w:cs="Arial"/>
          <w:sz w:val="22"/>
          <w:szCs w:val="22"/>
        </w:rPr>
        <w:t>Namowicz</w:t>
      </w:r>
      <w:proofErr w:type="spellEnd"/>
      <w:r w:rsidRPr="005C6352">
        <w:rPr>
          <w:rFonts w:cs="Arial"/>
          <w:sz w:val="22"/>
          <w:szCs w:val="22"/>
        </w:rPr>
        <w:t>, Tadeusz: Romantik. In: Deutsche und Polen. Geschichte – Kultur – Politik. Hrsg</w:t>
      </w:r>
      <w:r>
        <w:rPr>
          <w:rFonts w:cs="Arial"/>
          <w:sz w:val="22"/>
          <w:szCs w:val="22"/>
        </w:rPr>
        <w:t xml:space="preserve">. von Andreas </w:t>
      </w:r>
      <w:proofErr w:type="spellStart"/>
      <w:r>
        <w:rPr>
          <w:rFonts w:cs="Arial"/>
          <w:sz w:val="22"/>
          <w:szCs w:val="22"/>
        </w:rPr>
        <w:t>Lawaty</w:t>
      </w:r>
      <w:proofErr w:type="spellEnd"/>
      <w:r>
        <w:rPr>
          <w:rFonts w:cs="Arial"/>
          <w:sz w:val="22"/>
          <w:szCs w:val="22"/>
        </w:rPr>
        <w:t xml:space="preserve"> und Hubert </w:t>
      </w:r>
      <w:proofErr w:type="spellStart"/>
      <w:r w:rsidRPr="005C6352">
        <w:rPr>
          <w:rFonts w:cs="Arial"/>
          <w:sz w:val="22"/>
          <w:szCs w:val="22"/>
        </w:rPr>
        <w:t>Orłowski</w:t>
      </w:r>
      <w:proofErr w:type="spellEnd"/>
      <w:r w:rsidRPr="005C6352">
        <w:rPr>
          <w:rFonts w:cs="Arial"/>
          <w:sz w:val="22"/>
          <w:szCs w:val="22"/>
        </w:rPr>
        <w:t>. München: Beck 2003, S. 304 –312.</w:t>
      </w:r>
    </w:p>
    <w:p w:rsidR="005C6352" w:rsidRPr="005C6352" w:rsidRDefault="001B36F8" w:rsidP="002868B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iCs/>
          <w:sz w:val="22"/>
          <w:szCs w:val="22"/>
        </w:rPr>
        <w:t xml:space="preserve">Beleuchtet </w:t>
      </w:r>
      <w:r w:rsidR="005C6352" w:rsidRPr="005C6352">
        <w:rPr>
          <w:rFonts w:cs="Arial"/>
          <w:i/>
          <w:iCs/>
          <w:sz w:val="22"/>
          <w:szCs w:val="22"/>
        </w:rPr>
        <w:t>vor allem die politische Rolle</w:t>
      </w:r>
      <w:r w:rsidR="00CE1BD2">
        <w:rPr>
          <w:rFonts w:cs="Arial"/>
          <w:i/>
          <w:iCs/>
          <w:sz w:val="22"/>
          <w:szCs w:val="22"/>
        </w:rPr>
        <w:t xml:space="preserve"> der </w:t>
      </w:r>
      <w:r w:rsidR="005C6352" w:rsidRPr="005C6352">
        <w:rPr>
          <w:rFonts w:cs="Arial"/>
          <w:i/>
          <w:iCs/>
          <w:sz w:val="22"/>
          <w:szCs w:val="22"/>
        </w:rPr>
        <w:t>polnische</w:t>
      </w:r>
      <w:r w:rsidR="00CE1BD2">
        <w:rPr>
          <w:rFonts w:cs="Arial"/>
          <w:i/>
          <w:iCs/>
          <w:sz w:val="22"/>
          <w:szCs w:val="22"/>
        </w:rPr>
        <w:t>n</w:t>
      </w:r>
      <w:r w:rsidR="005C6352" w:rsidRPr="005C6352">
        <w:rPr>
          <w:rFonts w:cs="Arial"/>
          <w:i/>
          <w:iCs/>
          <w:sz w:val="22"/>
          <w:szCs w:val="22"/>
        </w:rPr>
        <w:t xml:space="preserve"> Literatur.</w:t>
      </w:r>
    </w:p>
    <w:sectPr w:rsidR="005C6352" w:rsidRPr="005C6352" w:rsidSect="0003613B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E4" w:rsidRDefault="007769E4">
      <w:r>
        <w:separator/>
      </w:r>
    </w:p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</w:endnote>
  <w:endnote w:type="continuationSeparator" w:id="0">
    <w:p w:rsidR="007769E4" w:rsidRDefault="007769E4">
      <w:r>
        <w:continuationSeparator/>
      </w:r>
    </w:p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3A5DAF" w:rsidRDefault="003A5DAF" w:rsidP="00E44005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3A5DAF" w:rsidRPr="007329D1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329D1" w:rsidRPr="007329D1" w:rsidTr="00BD1935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329D1" w:rsidRPr="007329D1" w:rsidTr="00BD1935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7329D1" w:rsidRPr="007329D1" w:rsidTr="00BD1935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7329D1" w:rsidRPr="007329D1" w:rsidRDefault="007329D1" w:rsidP="00BD193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93C2A7" wp14:editId="449F5257">
                                  <wp:extent cx="1238250" cy="533400"/>
                                  <wp:effectExtent l="0" t="0" r="0" b="0"/>
                                  <wp:docPr id="12" name="Grafik 12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797ED6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797ED6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4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7329D1" w:rsidRPr="007329D1" w:rsidRDefault="007329D1" w:rsidP="00BD193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7329D1" w:rsidRPr="007329D1" w:rsidRDefault="007329D1" w:rsidP="00BD1935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7329D1" w:rsidRPr="007329D1" w:rsidRDefault="007329D1" w:rsidP="00BD1935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7329D1" w:rsidRPr="007329D1" w:rsidRDefault="007329D1" w:rsidP="00BD1935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A5DAF" w:rsidRPr="007329D1" w:rsidRDefault="003A5DA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A5DAF" w:rsidRPr="007329D1" w:rsidRDefault="003A5DA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A5DAF" w:rsidRPr="007329D1" w:rsidRDefault="003A5DA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E4" w:rsidRDefault="007769E4">
      <w:r>
        <w:separator/>
      </w:r>
    </w:p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</w:footnote>
  <w:footnote w:type="continuationSeparator" w:id="0">
    <w:p w:rsidR="007769E4" w:rsidRDefault="007769E4">
      <w:r>
        <w:continuationSeparator/>
      </w:r>
    </w:p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  <w:p w:rsidR="007769E4" w:rsidRDefault="00776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>
    <w:pPr>
      <w:pStyle w:val="Kopfzeile"/>
    </w:pPr>
  </w:p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3A5DAF" w:rsidRPr="00FC4C21" w:rsidTr="0003613B">
      <w:trPr>
        <w:trHeight w:val="272"/>
      </w:trPr>
      <w:tc>
        <w:tcPr>
          <w:tcW w:w="6946" w:type="dxa"/>
        </w:tcPr>
        <w:p w:rsidR="003A5DAF" w:rsidRPr="00FC4C21" w:rsidRDefault="003A5DAF" w:rsidP="00650060">
          <w:pPr>
            <w:pStyle w:val="0berschrift4"/>
            <w:rPr>
              <w:sz w:val="20"/>
            </w:rPr>
          </w:pPr>
          <w:r w:rsidRPr="00FC4C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1E9F09C" wp14:editId="46C0754D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DAF" w:rsidRDefault="003A5DAF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3A5DAF" w:rsidRDefault="003A5DAF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0"/>
            </w:rPr>
            <w:t>Nation ohne Staat – Polen im 19. Jahrhundert</w:t>
          </w:r>
        </w:p>
      </w:tc>
      <w:tc>
        <w:tcPr>
          <w:tcW w:w="2767" w:type="dxa"/>
          <w:gridSpan w:val="2"/>
        </w:tcPr>
        <w:p w:rsidR="003A5DAF" w:rsidRPr="00FC4C21" w:rsidRDefault="003A5DAF" w:rsidP="00FC4C21">
          <w:pPr>
            <w:pStyle w:val="0berschrift4"/>
            <w:jc w:val="center"/>
            <w:rPr>
              <w:sz w:val="20"/>
            </w:rPr>
          </w:pPr>
          <w:r w:rsidRPr="00FC4C21">
            <w:rPr>
              <w:b/>
              <w:sz w:val="20"/>
            </w:rPr>
            <w:t>Geschichte</w:t>
          </w:r>
          <w:r w:rsidRPr="00FC4C21">
            <w:rPr>
              <w:rStyle w:val="RahmenSymbol"/>
              <w:sz w:val="20"/>
            </w:rPr>
            <w:t></w:t>
          </w:r>
        </w:p>
      </w:tc>
    </w:tr>
    <w:tr w:rsidR="003A5DAF" w:rsidRPr="00FC4C21" w:rsidTr="0003613B">
      <w:trPr>
        <w:trHeight w:val="272"/>
      </w:trPr>
      <w:tc>
        <w:tcPr>
          <w:tcW w:w="8714" w:type="dxa"/>
          <w:gridSpan w:val="2"/>
        </w:tcPr>
        <w:p w:rsidR="003A5DAF" w:rsidRPr="00FC4C21" w:rsidRDefault="003A5DAF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  <w:r w:rsidRPr="00FC4C21">
            <w:rPr>
              <w:i/>
              <w:sz w:val="20"/>
            </w:rPr>
            <w:tab/>
          </w:r>
        </w:p>
      </w:tc>
      <w:tc>
        <w:tcPr>
          <w:tcW w:w="999" w:type="dxa"/>
        </w:tcPr>
        <w:p w:rsidR="003A5DAF" w:rsidRPr="00FC4C21" w:rsidRDefault="003A5DAF" w:rsidP="0003613B">
          <w:pPr>
            <w:pStyle w:val="RahmenKopfzeilerechts"/>
            <w:rPr>
              <w:rStyle w:val="RahmenKopfzeilerechtsZchnZchn"/>
              <w:i/>
              <w:sz w:val="20"/>
              <w:szCs w:val="20"/>
            </w:rPr>
          </w:pPr>
        </w:p>
      </w:tc>
    </w:tr>
  </w:tbl>
  <w:p w:rsidR="003A5DAF" w:rsidRPr="00FC4C21" w:rsidRDefault="003A5DAF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4.4pt;height:14.4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F7367"/>
    <w:multiLevelType w:val="hybridMultilevel"/>
    <w:tmpl w:val="5F604942"/>
    <w:lvl w:ilvl="0" w:tplc="E7F66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E"/>
    <w:rsid w:val="000036D7"/>
    <w:rsid w:val="00012FD5"/>
    <w:rsid w:val="00023CF4"/>
    <w:rsid w:val="00025B8C"/>
    <w:rsid w:val="00026C0A"/>
    <w:rsid w:val="00026FB6"/>
    <w:rsid w:val="000270EA"/>
    <w:rsid w:val="00035908"/>
    <w:rsid w:val="0003613B"/>
    <w:rsid w:val="000370C4"/>
    <w:rsid w:val="00041780"/>
    <w:rsid w:val="000434CE"/>
    <w:rsid w:val="000525AE"/>
    <w:rsid w:val="000564E4"/>
    <w:rsid w:val="0006254E"/>
    <w:rsid w:val="00062CB1"/>
    <w:rsid w:val="00063791"/>
    <w:rsid w:val="0006600B"/>
    <w:rsid w:val="0006678C"/>
    <w:rsid w:val="00070934"/>
    <w:rsid w:val="000720FC"/>
    <w:rsid w:val="00076C38"/>
    <w:rsid w:val="000819A0"/>
    <w:rsid w:val="00091CA6"/>
    <w:rsid w:val="000922CE"/>
    <w:rsid w:val="00092C6C"/>
    <w:rsid w:val="00096B03"/>
    <w:rsid w:val="000A21DE"/>
    <w:rsid w:val="000A6685"/>
    <w:rsid w:val="000C26CC"/>
    <w:rsid w:val="000C6C75"/>
    <w:rsid w:val="000D5CEC"/>
    <w:rsid w:val="000E0DE3"/>
    <w:rsid w:val="000E27EF"/>
    <w:rsid w:val="000E3D24"/>
    <w:rsid w:val="000E528E"/>
    <w:rsid w:val="000F2509"/>
    <w:rsid w:val="000F50A8"/>
    <w:rsid w:val="000F7CB4"/>
    <w:rsid w:val="00102B84"/>
    <w:rsid w:val="00107625"/>
    <w:rsid w:val="001146CD"/>
    <w:rsid w:val="00114C43"/>
    <w:rsid w:val="00121293"/>
    <w:rsid w:val="0012426C"/>
    <w:rsid w:val="00127484"/>
    <w:rsid w:val="00135674"/>
    <w:rsid w:val="001368DD"/>
    <w:rsid w:val="00137907"/>
    <w:rsid w:val="0014005F"/>
    <w:rsid w:val="0014256E"/>
    <w:rsid w:val="00144E39"/>
    <w:rsid w:val="00146FFD"/>
    <w:rsid w:val="001506D1"/>
    <w:rsid w:val="00156A9B"/>
    <w:rsid w:val="00161CAE"/>
    <w:rsid w:val="001624A8"/>
    <w:rsid w:val="0016339B"/>
    <w:rsid w:val="0016430F"/>
    <w:rsid w:val="00165461"/>
    <w:rsid w:val="001667BF"/>
    <w:rsid w:val="001674F1"/>
    <w:rsid w:val="00171599"/>
    <w:rsid w:val="00190920"/>
    <w:rsid w:val="00195BC8"/>
    <w:rsid w:val="0019678C"/>
    <w:rsid w:val="001A47F2"/>
    <w:rsid w:val="001B3628"/>
    <w:rsid w:val="001B36F8"/>
    <w:rsid w:val="001B3E83"/>
    <w:rsid w:val="001C54F5"/>
    <w:rsid w:val="001D59F6"/>
    <w:rsid w:val="001E07A0"/>
    <w:rsid w:val="001E0B8A"/>
    <w:rsid w:val="001E1443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1E17"/>
    <w:rsid w:val="00213F0A"/>
    <w:rsid w:val="002143E3"/>
    <w:rsid w:val="00215422"/>
    <w:rsid w:val="00215664"/>
    <w:rsid w:val="00231684"/>
    <w:rsid w:val="00231F30"/>
    <w:rsid w:val="00232F84"/>
    <w:rsid w:val="002369BD"/>
    <w:rsid w:val="002402A8"/>
    <w:rsid w:val="0024442C"/>
    <w:rsid w:val="00251BD7"/>
    <w:rsid w:val="00253B0C"/>
    <w:rsid w:val="00255097"/>
    <w:rsid w:val="002574F4"/>
    <w:rsid w:val="00257EB8"/>
    <w:rsid w:val="00261D70"/>
    <w:rsid w:val="00276128"/>
    <w:rsid w:val="00280069"/>
    <w:rsid w:val="00282D72"/>
    <w:rsid w:val="002833C2"/>
    <w:rsid w:val="002868BA"/>
    <w:rsid w:val="002A13B3"/>
    <w:rsid w:val="002A3A65"/>
    <w:rsid w:val="002A4899"/>
    <w:rsid w:val="002B0CBD"/>
    <w:rsid w:val="002B4B9F"/>
    <w:rsid w:val="002B4F3B"/>
    <w:rsid w:val="002C12EC"/>
    <w:rsid w:val="002C3511"/>
    <w:rsid w:val="002C39D9"/>
    <w:rsid w:val="002C49C5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2F53E1"/>
    <w:rsid w:val="00303CDA"/>
    <w:rsid w:val="00304729"/>
    <w:rsid w:val="00304D6E"/>
    <w:rsid w:val="00305CB9"/>
    <w:rsid w:val="00307BFE"/>
    <w:rsid w:val="003103F9"/>
    <w:rsid w:val="00311278"/>
    <w:rsid w:val="0031468C"/>
    <w:rsid w:val="00340C99"/>
    <w:rsid w:val="0034341F"/>
    <w:rsid w:val="00351D2F"/>
    <w:rsid w:val="003524B3"/>
    <w:rsid w:val="00352A61"/>
    <w:rsid w:val="00355522"/>
    <w:rsid w:val="00356A49"/>
    <w:rsid w:val="00361311"/>
    <w:rsid w:val="0036304A"/>
    <w:rsid w:val="00365669"/>
    <w:rsid w:val="00383D1A"/>
    <w:rsid w:val="00383FB9"/>
    <w:rsid w:val="00386141"/>
    <w:rsid w:val="00387FBF"/>
    <w:rsid w:val="003A090D"/>
    <w:rsid w:val="003A5DAF"/>
    <w:rsid w:val="003B2910"/>
    <w:rsid w:val="003B6172"/>
    <w:rsid w:val="003B638C"/>
    <w:rsid w:val="003B7477"/>
    <w:rsid w:val="003C036E"/>
    <w:rsid w:val="003C361C"/>
    <w:rsid w:val="003C3A6F"/>
    <w:rsid w:val="003C5111"/>
    <w:rsid w:val="003C6B13"/>
    <w:rsid w:val="003C70F5"/>
    <w:rsid w:val="003D2756"/>
    <w:rsid w:val="003D363A"/>
    <w:rsid w:val="003D5D96"/>
    <w:rsid w:val="003D705F"/>
    <w:rsid w:val="003E1202"/>
    <w:rsid w:val="003E1A1B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2D0F"/>
    <w:rsid w:val="003F367E"/>
    <w:rsid w:val="003F3A8B"/>
    <w:rsid w:val="003F5AB1"/>
    <w:rsid w:val="00403829"/>
    <w:rsid w:val="00406ED2"/>
    <w:rsid w:val="00413E34"/>
    <w:rsid w:val="0042027D"/>
    <w:rsid w:val="0042038D"/>
    <w:rsid w:val="00421F52"/>
    <w:rsid w:val="00425421"/>
    <w:rsid w:val="00425D85"/>
    <w:rsid w:val="00425DEE"/>
    <w:rsid w:val="00426C09"/>
    <w:rsid w:val="004319B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0ADC"/>
    <w:rsid w:val="0049242E"/>
    <w:rsid w:val="00495876"/>
    <w:rsid w:val="00496EA9"/>
    <w:rsid w:val="004B02E4"/>
    <w:rsid w:val="004B2857"/>
    <w:rsid w:val="004B56B9"/>
    <w:rsid w:val="004B7716"/>
    <w:rsid w:val="004C73CA"/>
    <w:rsid w:val="004D4E71"/>
    <w:rsid w:val="004E0620"/>
    <w:rsid w:val="004E7BDB"/>
    <w:rsid w:val="004F1735"/>
    <w:rsid w:val="004F1A91"/>
    <w:rsid w:val="004F3FDF"/>
    <w:rsid w:val="005040CD"/>
    <w:rsid w:val="00504489"/>
    <w:rsid w:val="005057CD"/>
    <w:rsid w:val="00506747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17B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CF9"/>
    <w:rsid w:val="00595E8F"/>
    <w:rsid w:val="00595F52"/>
    <w:rsid w:val="005966FF"/>
    <w:rsid w:val="005A3093"/>
    <w:rsid w:val="005A4084"/>
    <w:rsid w:val="005B34B7"/>
    <w:rsid w:val="005B55B6"/>
    <w:rsid w:val="005B680F"/>
    <w:rsid w:val="005C3FBF"/>
    <w:rsid w:val="005C6352"/>
    <w:rsid w:val="005C7DEC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399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4758D"/>
    <w:rsid w:val="00650060"/>
    <w:rsid w:val="00653220"/>
    <w:rsid w:val="006576C8"/>
    <w:rsid w:val="00657A78"/>
    <w:rsid w:val="00657B17"/>
    <w:rsid w:val="00662F5C"/>
    <w:rsid w:val="0066793F"/>
    <w:rsid w:val="00670333"/>
    <w:rsid w:val="00670EC9"/>
    <w:rsid w:val="00671796"/>
    <w:rsid w:val="00681B71"/>
    <w:rsid w:val="00685629"/>
    <w:rsid w:val="00687610"/>
    <w:rsid w:val="006902A7"/>
    <w:rsid w:val="00690499"/>
    <w:rsid w:val="00692EB4"/>
    <w:rsid w:val="0069566D"/>
    <w:rsid w:val="006A572A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29D1"/>
    <w:rsid w:val="007337C0"/>
    <w:rsid w:val="00736647"/>
    <w:rsid w:val="0074383E"/>
    <w:rsid w:val="00745DA7"/>
    <w:rsid w:val="007538D5"/>
    <w:rsid w:val="00754CDB"/>
    <w:rsid w:val="007552AA"/>
    <w:rsid w:val="0076191E"/>
    <w:rsid w:val="0076407F"/>
    <w:rsid w:val="00770A83"/>
    <w:rsid w:val="00770FD4"/>
    <w:rsid w:val="007769E4"/>
    <w:rsid w:val="00781331"/>
    <w:rsid w:val="007840C2"/>
    <w:rsid w:val="007871BC"/>
    <w:rsid w:val="00793D4C"/>
    <w:rsid w:val="007951EC"/>
    <w:rsid w:val="00796776"/>
    <w:rsid w:val="00797021"/>
    <w:rsid w:val="00797ED6"/>
    <w:rsid w:val="007A0DF3"/>
    <w:rsid w:val="007A293C"/>
    <w:rsid w:val="007A2F2F"/>
    <w:rsid w:val="007A5025"/>
    <w:rsid w:val="007B0E51"/>
    <w:rsid w:val="007C2BCF"/>
    <w:rsid w:val="007D10DF"/>
    <w:rsid w:val="007D2A43"/>
    <w:rsid w:val="007D5F06"/>
    <w:rsid w:val="007D668D"/>
    <w:rsid w:val="007D776B"/>
    <w:rsid w:val="007D7813"/>
    <w:rsid w:val="007E1746"/>
    <w:rsid w:val="007E7428"/>
    <w:rsid w:val="007F1386"/>
    <w:rsid w:val="007F14F4"/>
    <w:rsid w:val="007F1F44"/>
    <w:rsid w:val="007F211B"/>
    <w:rsid w:val="007F5A4A"/>
    <w:rsid w:val="008016A2"/>
    <w:rsid w:val="00810A36"/>
    <w:rsid w:val="00811365"/>
    <w:rsid w:val="00815DD0"/>
    <w:rsid w:val="00817D12"/>
    <w:rsid w:val="008228B5"/>
    <w:rsid w:val="008246EB"/>
    <w:rsid w:val="0082598C"/>
    <w:rsid w:val="00825D1E"/>
    <w:rsid w:val="00835A4E"/>
    <w:rsid w:val="008373A4"/>
    <w:rsid w:val="00842A0D"/>
    <w:rsid w:val="00842D71"/>
    <w:rsid w:val="00845A23"/>
    <w:rsid w:val="00854BF8"/>
    <w:rsid w:val="00863AE2"/>
    <w:rsid w:val="008647FF"/>
    <w:rsid w:val="0086596D"/>
    <w:rsid w:val="0087090A"/>
    <w:rsid w:val="008726D2"/>
    <w:rsid w:val="0087362D"/>
    <w:rsid w:val="00880F64"/>
    <w:rsid w:val="008823B6"/>
    <w:rsid w:val="008835DC"/>
    <w:rsid w:val="008849E7"/>
    <w:rsid w:val="00887A7D"/>
    <w:rsid w:val="008A2793"/>
    <w:rsid w:val="008A2DF7"/>
    <w:rsid w:val="008B02A9"/>
    <w:rsid w:val="008B0642"/>
    <w:rsid w:val="008B389E"/>
    <w:rsid w:val="008B769E"/>
    <w:rsid w:val="008C277C"/>
    <w:rsid w:val="008C31A1"/>
    <w:rsid w:val="008C77F4"/>
    <w:rsid w:val="008D08AA"/>
    <w:rsid w:val="008D3F4B"/>
    <w:rsid w:val="008D66C8"/>
    <w:rsid w:val="008D6A18"/>
    <w:rsid w:val="008E123C"/>
    <w:rsid w:val="008E4306"/>
    <w:rsid w:val="008F21AF"/>
    <w:rsid w:val="008F70EE"/>
    <w:rsid w:val="008F7926"/>
    <w:rsid w:val="0090325E"/>
    <w:rsid w:val="009067D5"/>
    <w:rsid w:val="009129C1"/>
    <w:rsid w:val="00916304"/>
    <w:rsid w:val="00922FE0"/>
    <w:rsid w:val="009252A9"/>
    <w:rsid w:val="009252B7"/>
    <w:rsid w:val="00932B3F"/>
    <w:rsid w:val="00933B6C"/>
    <w:rsid w:val="00933E16"/>
    <w:rsid w:val="00934AB7"/>
    <w:rsid w:val="0093529E"/>
    <w:rsid w:val="00935A77"/>
    <w:rsid w:val="009378BB"/>
    <w:rsid w:val="0094147E"/>
    <w:rsid w:val="00946B15"/>
    <w:rsid w:val="00947D43"/>
    <w:rsid w:val="00956EF2"/>
    <w:rsid w:val="00962939"/>
    <w:rsid w:val="00963518"/>
    <w:rsid w:val="00971E69"/>
    <w:rsid w:val="00973750"/>
    <w:rsid w:val="00976BC0"/>
    <w:rsid w:val="0098656D"/>
    <w:rsid w:val="00990706"/>
    <w:rsid w:val="0099163E"/>
    <w:rsid w:val="0099491D"/>
    <w:rsid w:val="0099654D"/>
    <w:rsid w:val="009A74FD"/>
    <w:rsid w:val="009B70DD"/>
    <w:rsid w:val="009C2A3F"/>
    <w:rsid w:val="009C4B06"/>
    <w:rsid w:val="009C5612"/>
    <w:rsid w:val="009D3E58"/>
    <w:rsid w:val="009F6231"/>
    <w:rsid w:val="00A03E9F"/>
    <w:rsid w:val="00A119F8"/>
    <w:rsid w:val="00A137FE"/>
    <w:rsid w:val="00A14B73"/>
    <w:rsid w:val="00A211DC"/>
    <w:rsid w:val="00A323A3"/>
    <w:rsid w:val="00A353D8"/>
    <w:rsid w:val="00A361D5"/>
    <w:rsid w:val="00A36334"/>
    <w:rsid w:val="00A36401"/>
    <w:rsid w:val="00A37CDA"/>
    <w:rsid w:val="00A47ED1"/>
    <w:rsid w:val="00A529A5"/>
    <w:rsid w:val="00A53B22"/>
    <w:rsid w:val="00A54729"/>
    <w:rsid w:val="00A62797"/>
    <w:rsid w:val="00A644E6"/>
    <w:rsid w:val="00A6623D"/>
    <w:rsid w:val="00A66D37"/>
    <w:rsid w:val="00A72040"/>
    <w:rsid w:val="00A73A9A"/>
    <w:rsid w:val="00A74B28"/>
    <w:rsid w:val="00A7798C"/>
    <w:rsid w:val="00A857FD"/>
    <w:rsid w:val="00A85CF5"/>
    <w:rsid w:val="00A8770A"/>
    <w:rsid w:val="00A90E52"/>
    <w:rsid w:val="00A90E9F"/>
    <w:rsid w:val="00A9197C"/>
    <w:rsid w:val="00A92DE0"/>
    <w:rsid w:val="00A96725"/>
    <w:rsid w:val="00A971C7"/>
    <w:rsid w:val="00AA2221"/>
    <w:rsid w:val="00AA6038"/>
    <w:rsid w:val="00AA6AB8"/>
    <w:rsid w:val="00AB103A"/>
    <w:rsid w:val="00AC3D5C"/>
    <w:rsid w:val="00AD66BF"/>
    <w:rsid w:val="00AD6FB2"/>
    <w:rsid w:val="00AD74AC"/>
    <w:rsid w:val="00AE4D7F"/>
    <w:rsid w:val="00AE6A78"/>
    <w:rsid w:val="00AF063F"/>
    <w:rsid w:val="00AF24A9"/>
    <w:rsid w:val="00AF5811"/>
    <w:rsid w:val="00AF601C"/>
    <w:rsid w:val="00AF7FCE"/>
    <w:rsid w:val="00B055ED"/>
    <w:rsid w:val="00B15216"/>
    <w:rsid w:val="00B15460"/>
    <w:rsid w:val="00B22742"/>
    <w:rsid w:val="00B31DAE"/>
    <w:rsid w:val="00B33B92"/>
    <w:rsid w:val="00B37CAF"/>
    <w:rsid w:val="00B40C33"/>
    <w:rsid w:val="00B4144D"/>
    <w:rsid w:val="00B41DAC"/>
    <w:rsid w:val="00B47511"/>
    <w:rsid w:val="00B47A45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7E88"/>
    <w:rsid w:val="00BC30A2"/>
    <w:rsid w:val="00BC5692"/>
    <w:rsid w:val="00BD2755"/>
    <w:rsid w:val="00BD4A5A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10AD7"/>
    <w:rsid w:val="00C204B5"/>
    <w:rsid w:val="00C27DC9"/>
    <w:rsid w:val="00C33D11"/>
    <w:rsid w:val="00C404F9"/>
    <w:rsid w:val="00C40BEB"/>
    <w:rsid w:val="00C42CD8"/>
    <w:rsid w:val="00C43B9E"/>
    <w:rsid w:val="00C44527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96DF1"/>
    <w:rsid w:val="00CA0005"/>
    <w:rsid w:val="00CA1933"/>
    <w:rsid w:val="00CA2AB7"/>
    <w:rsid w:val="00CA2C7C"/>
    <w:rsid w:val="00CA5837"/>
    <w:rsid w:val="00CB0FD3"/>
    <w:rsid w:val="00CB4729"/>
    <w:rsid w:val="00CC019D"/>
    <w:rsid w:val="00CC3FFC"/>
    <w:rsid w:val="00CC42BD"/>
    <w:rsid w:val="00CD1001"/>
    <w:rsid w:val="00CD3EF6"/>
    <w:rsid w:val="00CD5F8B"/>
    <w:rsid w:val="00CE0B7A"/>
    <w:rsid w:val="00CE15F5"/>
    <w:rsid w:val="00CE1BD2"/>
    <w:rsid w:val="00CE1EAE"/>
    <w:rsid w:val="00CE3034"/>
    <w:rsid w:val="00CE39D8"/>
    <w:rsid w:val="00CF2DBE"/>
    <w:rsid w:val="00CF4108"/>
    <w:rsid w:val="00CF70F8"/>
    <w:rsid w:val="00D030E9"/>
    <w:rsid w:val="00D0391B"/>
    <w:rsid w:val="00D0486D"/>
    <w:rsid w:val="00D05730"/>
    <w:rsid w:val="00D06A10"/>
    <w:rsid w:val="00D12F13"/>
    <w:rsid w:val="00D2266B"/>
    <w:rsid w:val="00D31D55"/>
    <w:rsid w:val="00D442D6"/>
    <w:rsid w:val="00D44D16"/>
    <w:rsid w:val="00D538D1"/>
    <w:rsid w:val="00D5478E"/>
    <w:rsid w:val="00D54E85"/>
    <w:rsid w:val="00D64EE3"/>
    <w:rsid w:val="00D66C66"/>
    <w:rsid w:val="00D66E0E"/>
    <w:rsid w:val="00D67214"/>
    <w:rsid w:val="00D71861"/>
    <w:rsid w:val="00D77235"/>
    <w:rsid w:val="00D814C9"/>
    <w:rsid w:val="00D81D11"/>
    <w:rsid w:val="00D8274D"/>
    <w:rsid w:val="00D8537F"/>
    <w:rsid w:val="00D877A5"/>
    <w:rsid w:val="00D905C1"/>
    <w:rsid w:val="00D92B2B"/>
    <w:rsid w:val="00D94327"/>
    <w:rsid w:val="00D94403"/>
    <w:rsid w:val="00D9640D"/>
    <w:rsid w:val="00D97509"/>
    <w:rsid w:val="00DB12AA"/>
    <w:rsid w:val="00DB24EB"/>
    <w:rsid w:val="00DB26D4"/>
    <w:rsid w:val="00DB3AEC"/>
    <w:rsid w:val="00DB5E26"/>
    <w:rsid w:val="00DB6A5A"/>
    <w:rsid w:val="00DC2875"/>
    <w:rsid w:val="00DC3001"/>
    <w:rsid w:val="00DD1B31"/>
    <w:rsid w:val="00DD3B31"/>
    <w:rsid w:val="00DE03F5"/>
    <w:rsid w:val="00DE1DFB"/>
    <w:rsid w:val="00DE7CA4"/>
    <w:rsid w:val="00DE7FC9"/>
    <w:rsid w:val="00DF222A"/>
    <w:rsid w:val="00E01A21"/>
    <w:rsid w:val="00E02328"/>
    <w:rsid w:val="00E023D1"/>
    <w:rsid w:val="00E111A5"/>
    <w:rsid w:val="00E17E48"/>
    <w:rsid w:val="00E215D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2873"/>
    <w:rsid w:val="00E720AD"/>
    <w:rsid w:val="00E72C84"/>
    <w:rsid w:val="00E8035B"/>
    <w:rsid w:val="00E96370"/>
    <w:rsid w:val="00E976F1"/>
    <w:rsid w:val="00EA2D1D"/>
    <w:rsid w:val="00EA47C4"/>
    <w:rsid w:val="00EB3D3F"/>
    <w:rsid w:val="00EB5B97"/>
    <w:rsid w:val="00EC2A6E"/>
    <w:rsid w:val="00EC6126"/>
    <w:rsid w:val="00ED3765"/>
    <w:rsid w:val="00EE1668"/>
    <w:rsid w:val="00EE42D0"/>
    <w:rsid w:val="00EE49A6"/>
    <w:rsid w:val="00EE4AFB"/>
    <w:rsid w:val="00EE58C3"/>
    <w:rsid w:val="00EF5139"/>
    <w:rsid w:val="00EF7C52"/>
    <w:rsid w:val="00F00C39"/>
    <w:rsid w:val="00F05ADB"/>
    <w:rsid w:val="00F05F07"/>
    <w:rsid w:val="00F06460"/>
    <w:rsid w:val="00F13624"/>
    <w:rsid w:val="00F17BD7"/>
    <w:rsid w:val="00F205F5"/>
    <w:rsid w:val="00F249C1"/>
    <w:rsid w:val="00F25174"/>
    <w:rsid w:val="00F2580A"/>
    <w:rsid w:val="00F27B0C"/>
    <w:rsid w:val="00F31AA5"/>
    <w:rsid w:val="00F3227C"/>
    <w:rsid w:val="00F32FAB"/>
    <w:rsid w:val="00F4346E"/>
    <w:rsid w:val="00F533A9"/>
    <w:rsid w:val="00F55CFF"/>
    <w:rsid w:val="00F60DC7"/>
    <w:rsid w:val="00F627D1"/>
    <w:rsid w:val="00F662DB"/>
    <w:rsid w:val="00F801FA"/>
    <w:rsid w:val="00F8127B"/>
    <w:rsid w:val="00F86082"/>
    <w:rsid w:val="00F87071"/>
    <w:rsid w:val="00F90B79"/>
    <w:rsid w:val="00F911EF"/>
    <w:rsid w:val="00F91703"/>
    <w:rsid w:val="00F9248B"/>
    <w:rsid w:val="00F9656F"/>
    <w:rsid w:val="00FA41C3"/>
    <w:rsid w:val="00FA50C2"/>
    <w:rsid w:val="00FA6B15"/>
    <w:rsid w:val="00FB0683"/>
    <w:rsid w:val="00FB09B7"/>
    <w:rsid w:val="00FB144C"/>
    <w:rsid w:val="00FB23BF"/>
    <w:rsid w:val="00FB54BC"/>
    <w:rsid w:val="00FB5BE8"/>
    <w:rsid w:val="00FB6A2A"/>
    <w:rsid w:val="00FB6AB2"/>
    <w:rsid w:val="00FB7AF8"/>
    <w:rsid w:val="00FC21E3"/>
    <w:rsid w:val="00FC41F7"/>
    <w:rsid w:val="00FC4C21"/>
    <w:rsid w:val="00FC4E30"/>
    <w:rsid w:val="00FC6968"/>
    <w:rsid w:val="00FC71DC"/>
    <w:rsid w:val="00FD0935"/>
    <w:rsid w:val="00FD695E"/>
    <w:rsid w:val="00FD6DC3"/>
    <w:rsid w:val="00FE4A13"/>
    <w:rsid w:val="00FE6B69"/>
    <w:rsid w:val="00FF21B0"/>
    <w:rsid w:val="00FF2BE7"/>
    <w:rsid w:val="00FF2D8D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mokratiegeschichte.eu/index.php?id=16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r.de/radio/bayern2/sendungen/radiowissen/polen-teilung10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pb.bwue.de/aktuell/due/37_98/due37a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Bp36aDI36V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erein-museum-europaeischer-kulturen.de/fih-beschreibung.htm" TargetMode="External"/><Relationship Id="rId10" Type="http://schemas.openxmlformats.org/officeDocument/2006/relationships/hyperlink" Target="http://www.youtube.com/watch?v=HpyPHESKEDw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YtkEwjiNl5k" TargetMode="External"/><Relationship Id="rId14" Type="http://schemas.openxmlformats.org/officeDocument/2006/relationships/hyperlink" Target="http://www.schoenes-polen.de/polen-reise-informationen/geschichte-polen/45-kongresspol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62CA-23BB-4DF8-94C5-46F732F8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4</Pages>
  <Words>1365</Words>
  <Characters>8603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9949</CharactersWithSpaces>
  <SharedDoc>false</SharedDoc>
  <HyperlinkBase>www.cornelsen.de/teachweb</HyperlinkBase>
  <HLinks>
    <vt:vector size="42" baseType="variant"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http://enominepatris.com/deutschtum/geschichte/hirtenbrief.htm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http://www.deutsche-und-polen.de/ereignisse/ereignis_jsp/key=ein_versoehnungszeichen_1965.html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http://www.bpb.de/politik/hintergrund-aktuell/68933/40-jahre-warschauer-vertrag-06-12-2010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http://www.verlag20.de/unterrichtsmaterial/1402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http://www.cornelsen.de/home/katalog/akd/1.c.1924536.de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http://www.youtube.com/watch?v=Tlt7a_wuqVw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http://www.youtube.com/watch?v=0jxrWqmHWBw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6</cp:revision>
  <cp:lastPrinted>2014-08-20T14:55:00Z</cp:lastPrinted>
  <dcterms:created xsi:type="dcterms:W3CDTF">2014-08-20T14:29:00Z</dcterms:created>
  <dcterms:modified xsi:type="dcterms:W3CDTF">2014-08-20T14:56:00Z</dcterms:modified>
  <cp:category>Aktualitätendienst Politik</cp:category>
</cp:coreProperties>
</file>