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E" w:rsidRPr="002C49C5" w:rsidRDefault="00835A4E" w:rsidP="00E01A21">
      <w:pPr>
        <w:pStyle w:val="0berschrift2"/>
        <w:rPr>
          <w:i/>
          <w:sz w:val="20"/>
          <w:szCs w:val="18"/>
        </w:rPr>
      </w:pPr>
      <w:bookmarkStart w:id="0" w:name="_GoBack"/>
      <w:bookmarkEnd w:id="0"/>
      <w:r w:rsidRPr="002C49C5">
        <w:rPr>
          <w:i/>
          <w:sz w:val="24"/>
        </w:rPr>
        <w:t xml:space="preserve">Arbeitsblatt 3: </w:t>
      </w:r>
      <w:r w:rsidR="00FF2D8D">
        <w:rPr>
          <w:i/>
          <w:sz w:val="24"/>
        </w:rPr>
        <w:t>Stellungnahmen zur Polenfrage 1848</w:t>
      </w:r>
    </w:p>
    <w:p w:rsidR="00810A36" w:rsidRPr="0069566D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Cs/>
          <w:sz w:val="22"/>
          <w:szCs w:val="22"/>
        </w:rPr>
      </w:pPr>
      <w:r w:rsidRPr="0069566D">
        <w:rPr>
          <w:rFonts w:cs="Arial"/>
          <w:b/>
          <w:iCs/>
          <w:sz w:val="22"/>
          <w:szCs w:val="22"/>
        </w:rPr>
        <w:t xml:space="preserve">a) Ernst Moritz Arndt in einer Schrift zu </w:t>
      </w:r>
      <w:r w:rsidRPr="0069566D">
        <w:rPr>
          <w:rFonts w:cs="Arial"/>
          <w:b/>
          <w:i/>
          <w:iCs/>
          <w:sz w:val="22"/>
          <w:szCs w:val="22"/>
        </w:rPr>
        <w:t>Polenlärm</w:t>
      </w:r>
      <w:r w:rsidRPr="0069566D">
        <w:rPr>
          <w:rFonts w:cs="Arial"/>
          <w:b/>
          <w:iCs/>
          <w:sz w:val="22"/>
          <w:szCs w:val="22"/>
        </w:rPr>
        <w:t xml:space="preserve"> </w:t>
      </w:r>
      <w:r w:rsidRPr="0069566D">
        <w:rPr>
          <w:rFonts w:cs="Arial"/>
          <w:b/>
          <w:i/>
          <w:iCs/>
          <w:sz w:val="22"/>
          <w:szCs w:val="22"/>
        </w:rPr>
        <w:t>und Polenbegeisterung</w:t>
      </w:r>
      <w:r w:rsidRPr="0069566D">
        <w:rPr>
          <w:rFonts w:cs="Arial"/>
          <w:b/>
          <w:iCs/>
          <w:sz w:val="22"/>
          <w:szCs w:val="22"/>
        </w:rPr>
        <w:t xml:space="preserve"> aus dem Jahr 1848</w:t>
      </w: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10A36">
        <w:rPr>
          <w:rFonts w:cs="Arial"/>
          <w:sz w:val="22"/>
          <w:szCs w:val="22"/>
        </w:rPr>
        <w:t>Die Narren. Die</w:t>
      </w:r>
      <w:r>
        <w:rPr>
          <w:rFonts w:cs="Arial"/>
          <w:sz w:val="22"/>
          <w:szCs w:val="22"/>
        </w:rPr>
        <w:t xml:space="preserve">se faseln in einer falschen und </w:t>
      </w:r>
      <w:r w:rsidRPr="00810A36">
        <w:rPr>
          <w:rFonts w:cs="Arial"/>
          <w:sz w:val="22"/>
          <w:szCs w:val="22"/>
        </w:rPr>
        <w:t>wohlfei</w:t>
      </w:r>
      <w:r>
        <w:rPr>
          <w:rFonts w:cs="Arial"/>
          <w:sz w:val="22"/>
          <w:szCs w:val="22"/>
        </w:rPr>
        <w:t xml:space="preserve">len Begeisterung und wollen die begangenen </w:t>
      </w:r>
      <w:r w:rsidRPr="00810A36">
        <w:rPr>
          <w:rFonts w:cs="Arial"/>
          <w:sz w:val="22"/>
          <w:szCs w:val="22"/>
        </w:rPr>
        <w:t>Unrech</w:t>
      </w:r>
      <w:r>
        <w:rPr>
          <w:rFonts w:cs="Arial"/>
          <w:sz w:val="22"/>
          <w:szCs w:val="22"/>
        </w:rPr>
        <w:t xml:space="preserve">te des letzten Jahrhunderts auf Kosten </w:t>
      </w:r>
      <w:r w:rsidRPr="00810A36">
        <w:rPr>
          <w:rFonts w:cs="Arial"/>
          <w:sz w:val="22"/>
          <w:szCs w:val="22"/>
        </w:rPr>
        <w:t>der Deutschen wieder</w:t>
      </w:r>
      <w:r>
        <w:rPr>
          <w:rFonts w:cs="Arial"/>
          <w:sz w:val="22"/>
          <w:szCs w:val="22"/>
        </w:rPr>
        <w:t xml:space="preserve">gutmachen, ohne irgendeine </w:t>
      </w:r>
      <w:r w:rsidRPr="00810A36">
        <w:rPr>
          <w:rFonts w:cs="Arial"/>
          <w:sz w:val="22"/>
          <w:szCs w:val="22"/>
        </w:rPr>
        <w:t>Ge</w:t>
      </w:r>
      <w:r>
        <w:rPr>
          <w:rFonts w:cs="Arial"/>
          <w:sz w:val="22"/>
          <w:szCs w:val="22"/>
        </w:rPr>
        <w:t xml:space="preserve">genrechnung und einen Gedanken, </w:t>
      </w:r>
      <w:r w:rsidRPr="00810A36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ass auch die Polen ihre großen, früheren und </w:t>
      </w:r>
      <w:r w:rsidRPr="00810A36">
        <w:rPr>
          <w:rFonts w:cs="Arial"/>
          <w:sz w:val="22"/>
          <w:szCs w:val="22"/>
        </w:rPr>
        <w:t>späteren Unre</w:t>
      </w:r>
      <w:r>
        <w:rPr>
          <w:rFonts w:cs="Arial"/>
          <w:sz w:val="22"/>
          <w:szCs w:val="22"/>
        </w:rPr>
        <w:t xml:space="preserve">chte gehabt haben, und zwar das Hauptunrecht und die polnische Ursünde in ihrer </w:t>
      </w:r>
      <w:r w:rsidRPr="00810A36">
        <w:rPr>
          <w:rFonts w:cs="Arial"/>
          <w:sz w:val="22"/>
          <w:szCs w:val="22"/>
        </w:rPr>
        <w:t>Unordnung, Vaterlandsvergessenheit, ja Vaterlandsverräte</w:t>
      </w:r>
      <w:r>
        <w:rPr>
          <w:rFonts w:cs="Arial"/>
          <w:sz w:val="22"/>
          <w:szCs w:val="22"/>
        </w:rPr>
        <w:t xml:space="preserve">rei, wodurch sie in ihren gegenwärtigen </w:t>
      </w:r>
      <w:r w:rsidRPr="00810A36">
        <w:rPr>
          <w:rFonts w:cs="Arial"/>
          <w:sz w:val="22"/>
          <w:szCs w:val="22"/>
        </w:rPr>
        <w:t>Zustand hinabgesunken sind.</w:t>
      </w: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Cs w:val="20"/>
        </w:rPr>
      </w:pPr>
      <w:r w:rsidRPr="00810A36">
        <w:rPr>
          <w:rFonts w:cs="Arial"/>
          <w:i/>
          <w:iCs/>
          <w:szCs w:val="20"/>
        </w:rPr>
        <w:t>Aus: Reiner Pommerin, Manuela Uhlmann (Hrsg.): Quellen zu den deutsch-polnischen Beziehungen 1815–1991. Darmstadt: Wissenschaftliche Buchgesellschaft 2001, S. 57</w:t>
      </w:r>
      <w:r w:rsidR="00EB3D3F">
        <w:rPr>
          <w:rFonts w:cs="Arial"/>
          <w:i/>
          <w:iCs/>
          <w:szCs w:val="20"/>
        </w:rPr>
        <w:t>.</w:t>
      </w:r>
    </w:p>
    <w:p w:rsid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 w:val="22"/>
          <w:szCs w:val="22"/>
        </w:rPr>
      </w:pPr>
    </w:p>
    <w:p w:rsidR="00810A36" w:rsidRPr="0069566D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Cs/>
          <w:sz w:val="22"/>
          <w:szCs w:val="22"/>
        </w:rPr>
      </w:pPr>
      <w:r w:rsidRPr="0069566D">
        <w:rPr>
          <w:rFonts w:cs="Arial"/>
          <w:b/>
          <w:iCs/>
          <w:sz w:val="22"/>
          <w:szCs w:val="22"/>
        </w:rPr>
        <w:t>b) Der Abgeordnete Jordan in der Paulskirche (1848)</w:t>
      </w: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10A36">
        <w:rPr>
          <w:rFonts w:cs="Arial"/>
          <w:sz w:val="22"/>
          <w:szCs w:val="22"/>
        </w:rPr>
        <w:t>Polen bloß desw</w:t>
      </w:r>
      <w:r>
        <w:rPr>
          <w:rFonts w:cs="Arial"/>
          <w:sz w:val="22"/>
          <w:szCs w:val="22"/>
        </w:rPr>
        <w:t xml:space="preserve">egen herstellen zu wollen, weil </w:t>
      </w:r>
      <w:r w:rsidRPr="00810A36">
        <w:rPr>
          <w:rFonts w:cs="Arial"/>
          <w:sz w:val="22"/>
          <w:szCs w:val="22"/>
        </w:rPr>
        <w:t>sein Unt</w:t>
      </w:r>
      <w:r>
        <w:rPr>
          <w:rFonts w:cs="Arial"/>
          <w:sz w:val="22"/>
          <w:szCs w:val="22"/>
        </w:rPr>
        <w:t xml:space="preserve">ergang uns mit gerechter Trauer erfüllt, </w:t>
      </w:r>
      <w:r w:rsidRPr="00810A36">
        <w:rPr>
          <w:rFonts w:cs="Arial"/>
          <w:sz w:val="22"/>
          <w:szCs w:val="22"/>
        </w:rPr>
        <w:t xml:space="preserve">das nenne ich eine </w:t>
      </w:r>
      <w:r>
        <w:rPr>
          <w:rFonts w:cs="Arial"/>
          <w:sz w:val="22"/>
          <w:szCs w:val="22"/>
        </w:rPr>
        <w:t xml:space="preserve">schwachsinnige Sentimentalität. </w:t>
      </w:r>
      <w:r w:rsidRPr="00810A36">
        <w:rPr>
          <w:rFonts w:cs="Arial"/>
          <w:sz w:val="22"/>
          <w:szCs w:val="22"/>
        </w:rPr>
        <w:t>[…]</w:t>
      </w:r>
      <w:r>
        <w:rPr>
          <w:rFonts w:cs="Arial"/>
          <w:sz w:val="22"/>
          <w:szCs w:val="22"/>
        </w:rPr>
        <w:t xml:space="preserve"> Ich sage, die Politik, die uns zuruft: Gebt </w:t>
      </w:r>
      <w:r w:rsidRPr="00810A36">
        <w:rPr>
          <w:rFonts w:cs="Arial"/>
          <w:sz w:val="22"/>
          <w:szCs w:val="22"/>
        </w:rPr>
        <w:t>Polen frei, es koste, was es wolle</w:t>
      </w:r>
      <w:r>
        <w:rPr>
          <w:rFonts w:cs="Arial"/>
          <w:sz w:val="22"/>
          <w:szCs w:val="22"/>
        </w:rPr>
        <w:t xml:space="preserve">, ist eine kurzsichtige, eine selbstvergessene Politik, eine Politik der </w:t>
      </w:r>
      <w:r w:rsidRPr="00810A36">
        <w:rPr>
          <w:rFonts w:cs="Arial"/>
          <w:sz w:val="22"/>
          <w:szCs w:val="22"/>
        </w:rPr>
        <w:t>Schwäche, eine Polit</w:t>
      </w:r>
      <w:r>
        <w:rPr>
          <w:rFonts w:cs="Arial"/>
          <w:sz w:val="22"/>
          <w:szCs w:val="22"/>
        </w:rPr>
        <w:t xml:space="preserve">ik der Furcht, eine Politik der Feigheit. Es ist hohe Zeit für uns, endlich einmal </w:t>
      </w:r>
      <w:r w:rsidRPr="00810A36">
        <w:rPr>
          <w:rFonts w:cs="Arial"/>
          <w:sz w:val="22"/>
          <w:szCs w:val="22"/>
        </w:rPr>
        <w:t>zu erwachen […] zu einem gesunden Volksegoismus.</w:t>
      </w: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Cs w:val="20"/>
        </w:rPr>
      </w:pPr>
      <w:r w:rsidRPr="00810A36">
        <w:rPr>
          <w:rFonts w:cs="Arial"/>
          <w:i/>
          <w:iCs/>
          <w:szCs w:val="20"/>
        </w:rPr>
        <w:t>Aus: Geschichtsbuch Oberstufe. Lehrerhandreichung. Berlin: Cornelsen, S. 103</w:t>
      </w:r>
      <w:r w:rsidR="00361311">
        <w:rPr>
          <w:rFonts w:cs="Arial"/>
          <w:i/>
          <w:iCs/>
          <w:szCs w:val="20"/>
        </w:rPr>
        <w:t>.</w:t>
      </w:r>
    </w:p>
    <w:p w:rsid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 w:val="22"/>
          <w:szCs w:val="22"/>
        </w:rPr>
      </w:pPr>
    </w:p>
    <w:p w:rsidR="00810A36" w:rsidRPr="0069566D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iCs/>
          <w:sz w:val="22"/>
          <w:szCs w:val="22"/>
        </w:rPr>
      </w:pPr>
      <w:r w:rsidRPr="0069566D">
        <w:rPr>
          <w:rFonts w:cs="Arial"/>
          <w:b/>
          <w:iCs/>
          <w:sz w:val="22"/>
          <w:szCs w:val="22"/>
        </w:rPr>
        <w:t xml:space="preserve">c) Friedrich Engels in der </w:t>
      </w:r>
      <w:r w:rsidRPr="0069566D">
        <w:rPr>
          <w:rFonts w:cs="Arial"/>
          <w:b/>
          <w:i/>
          <w:iCs/>
          <w:sz w:val="22"/>
          <w:szCs w:val="22"/>
        </w:rPr>
        <w:t>Neuen Rheinischen Zeitung</w:t>
      </w:r>
      <w:r w:rsidRPr="0069566D">
        <w:rPr>
          <w:rFonts w:cs="Arial"/>
          <w:b/>
          <w:iCs/>
          <w:sz w:val="22"/>
          <w:szCs w:val="22"/>
        </w:rPr>
        <w:t xml:space="preserve"> Nr. 96 vom 7. September 1848</w:t>
      </w: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10A36">
        <w:rPr>
          <w:rFonts w:cs="Arial"/>
          <w:sz w:val="22"/>
          <w:szCs w:val="22"/>
        </w:rPr>
        <w:t>Die ganze Debat</w:t>
      </w:r>
      <w:r>
        <w:rPr>
          <w:rFonts w:cs="Arial"/>
          <w:sz w:val="22"/>
          <w:szCs w:val="22"/>
        </w:rPr>
        <w:t xml:space="preserve">te hinterlässt einen wehmütigen </w:t>
      </w:r>
      <w:r w:rsidRPr="00810A36">
        <w:rPr>
          <w:rFonts w:cs="Arial"/>
          <w:sz w:val="22"/>
          <w:szCs w:val="22"/>
        </w:rPr>
        <w:t>Eindruck. S</w:t>
      </w:r>
      <w:r>
        <w:rPr>
          <w:rFonts w:cs="Arial"/>
          <w:sz w:val="22"/>
          <w:szCs w:val="22"/>
        </w:rPr>
        <w:t xml:space="preserve">o viel lange Reden und so wenig Inhalt, </w:t>
      </w:r>
      <w:r w:rsidRPr="00810A36">
        <w:rPr>
          <w:rFonts w:cs="Arial"/>
          <w:sz w:val="22"/>
          <w:szCs w:val="22"/>
        </w:rPr>
        <w:t>so wenig Bekanntschaft mit d</w:t>
      </w:r>
      <w:r>
        <w:rPr>
          <w:rFonts w:cs="Arial"/>
          <w:sz w:val="22"/>
          <w:szCs w:val="22"/>
        </w:rPr>
        <w:t xml:space="preserve">em Gegenstande, </w:t>
      </w:r>
      <w:r w:rsidRPr="00810A36">
        <w:rPr>
          <w:rFonts w:cs="Arial"/>
          <w:sz w:val="22"/>
          <w:szCs w:val="22"/>
        </w:rPr>
        <w:t>so w</w:t>
      </w:r>
      <w:r>
        <w:rPr>
          <w:rFonts w:cs="Arial"/>
          <w:sz w:val="22"/>
          <w:szCs w:val="22"/>
        </w:rPr>
        <w:t xml:space="preserve">enig Talent! […] Die Beschlüsse sind bekannt. </w:t>
      </w:r>
      <w:r w:rsidRPr="00810A36">
        <w:rPr>
          <w:rFonts w:cs="Arial"/>
          <w:sz w:val="22"/>
          <w:szCs w:val="22"/>
        </w:rPr>
        <w:t>Man hat</w:t>
      </w:r>
      <w:r>
        <w:rPr>
          <w:rFonts w:cs="Arial"/>
          <w:sz w:val="22"/>
          <w:szCs w:val="22"/>
        </w:rPr>
        <w:t xml:space="preserve"> 3/4 von Posen erobert; man hat </w:t>
      </w:r>
      <w:r w:rsidRPr="00810A36">
        <w:rPr>
          <w:rFonts w:cs="Arial"/>
          <w:sz w:val="22"/>
          <w:szCs w:val="22"/>
        </w:rPr>
        <w:t xml:space="preserve">sie </w:t>
      </w:r>
      <w:r>
        <w:rPr>
          <w:rFonts w:cs="Arial"/>
          <w:sz w:val="22"/>
          <w:szCs w:val="22"/>
        </w:rPr>
        <w:t xml:space="preserve">erobert weder durch Gewalt noch durch </w:t>
      </w:r>
      <w:r w:rsidR="00361311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deutschen </w:t>
      </w:r>
      <w:r w:rsidRPr="00810A36">
        <w:rPr>
          <w:rFonts w:cs="Arial"/>
          <w:sz w:val="22"/>
          <w:szCs w:val="22"/>
        </w:rPr>
        <w:t>Fleiß</w:t>
      </w:r>
      <w:r w:rsidR="00361311">
        <w:rPr>
          <w:rFonts w:cs="Arial"/>
          <w:sz w:val="22"/>
          <w:szCs w:val="22"/>
        </w:rPr>
        <w:t>“</w:t>
      </w:r>
      <w:r w:rsidRPr="00810A3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noch durch den </w:t>
      </w:r>
      <w:r w:rsidR="00361311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Pflug</w:t>
      </w:r>
      <w:r w:rsidR="00361311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, sondern durch Kannegießerei, erlogene Statistik und </w:t>
      </w:r>
      <w:r w:rsidRPr="00810A36">
        <w:rPr>
          <w:rFonts w:cs="Arial"/>
          <w:sz w:val="22"/>
          <w:szCs w:val="22"/>
        </w:rPr>
        <w:t xml:space="preserve">furchtsame Beschlüsse. </w:t>
      </w:r>
      <w:r w:rsidR="00361311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Ihr habt die Polen verschluckt, verdauen werdet Ihr sie </w:t>
      </w:r>
      <w:r w:rsidRPr="00810A36">
        <w:rPr>
          <w:rFonts w:cs="Arial"/>
          <w:sz w:val="22"/>
          <w:szCs w:val="22"/>
        </w:rPr>
        <w:t>bei Gott nicht!</w:t>
      </w:r>
      <w:r w:rsidR="00361311">
        <w:rPr>
          <w:rFonts w:cs="Arial"/>
          <w:sz w:val="22"/>
          <w:szCs w:val="22"/>
        </w:rPr>
        <w:t>“</w:t>
      </w:r>
    </w:p>
    <w:p w:rsid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Cs w:val="20"/>
        </w:rPr>
      </w:pPr>
      <w:r w:rsidRPr="00810A36">
        <w:rPr>
          <w:rFonts w:cs="Arial"/>
          <w:i/>
          <w:iCs/>
          <w:szCs w:val="20"/>
        </w:rPr>
        <w:t>Aus: Karl Marx, Friedrich Engels: Werke. Bd. 5. Berlin: Dietz, S. 319</w:t>
      </w:r>
      <w:r w:rsidR="00361311">
        <w:rPr>
          <w:rFonts w:cs="Arial"/>
          <w:i/>
          <w:iCs/>
          <w:szCs w:val="20"/>
        </w:rPr>
        <w:t>.</w:t>
      </w:r>
    </w:p>
    <w:p w:rsid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Cs w:val="20"/>
        </w:rPr>
      </w:pPr>
    </w:p>
    <w:p w:rsidR="00A66D37" w:rsidRDefault="00A66D37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Cs w:val="20"/>
        </w:rPr>
      </w:pPr>
    </w:p>
    <w:p w:rsidR="00810A36" w:rsidRPr="00810A36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iCs/>
          <w:sz w:val="22"/>
          <w:szCs w:val="22"/>
        </w:rPr>
      </w:pPr>
      <w:r w:rsidRPr="00810A36">
        <w:rPr>
          <w:rFonts w:cs="Arial"/>
          <w:i/>
          <w:iCs/>
          <w:sz w:val="22"/>
          <w:szCs w:val="22"/>
        </w:rPr>
        <w:t>1. Welche Argumente führen Ernst Moritz Arndt und der Abgeordnete Jordan an, um den Polen die Unterstützung im Freiheitskampf zu entziehen?</w:t>
      </w:r>
    </w:p>
    <w:p w:rsidR="00810A36" w:rsidRPr="0012426C" w:rsidRDefault="00810A36" w:rsidP="0069566D">
      <w:pPr>
        <w:pStyle w:val="1Standardflietext"/>
        <w:jc w:val="both"/>
        <w:rPr>
          <w:szCs w:val="22"/>
        </w:rPr>
      </w:pPr>
    </w:p>
    <w:p w:rsidR="0012426C" w:rsidRDefault="00810A36" w:rsidP="0069566D">
      <w:pPr>
        <w:autoSpaceDE w:val="0"/>
        <w:autoSpaceDN w:val="0"/>
        <w:adjustRightInd w:val="0"/>
        <w:spacing w:line="240" w:lineRule="atLeast"/>
        <w:jc w:val="both"/>
        <w:rPr>
          <w:i/>
          <w:sz w:val="22"/>
          <w:szCs w:val="22"/>
        </w:rPr>
      </w:pPr>
      <w:r w:rsidRPr="0012426C">
        <w:rPr>
          <w:i/>
          <w:sz w:val="22"/>
          <w:szCs w:val="22"/>
        </w:rPr>
        <w:t xml:space="preserve">2. Friedrich Engels äußert sich </w:t>
      </w:r>
      <w:r w:rsidR="00A66D37">
        <w:rPr>
          <w:i/>
          <w:sz w:val="22"/>
          <w:szCs w:val="22"/>
        </w:rPr>
        <w:t xml:space="preserve">im Gegensatz dazu </w:t>
      </w:r>
      <w:r w:rsidRPr="0012426C">
        <w:rPr>
          <w:i/>
          <w:sz w:val="22"/>
          <w:szCs w:val="22"/>
        </w:rPr>
        <w:t>kritisch. Was wirft er den Gegnern der polnischen Freiheitsbewegung vor?</w:t>
      </w:r>
    </w:p>
    <w:p w:rsidR="0012426C" w:rsidRDefault="0012426C" w:rsidP="0069566D">
      <w:pPr>
        <w:autoSpaceDE w:val="0"/>
        <w:autoSpaceDN w:val="0"/>
        <w:adjustRightInd w:val="0"/>
        <w:spacing w:line="240" w:lineRule="atLeast"/>
        <w:jc w:val="both"/>
        <w:rPr>
          <w:i/>
          <w:sz w:val="22"/>
          <w:szCs w:val="22"/>
        </w:rPr>
      </w:pPr>
    </w:p>
    <w:p w:rsidR="0012426C" w:rsidRDefault="0012426C" w:rsidP="0069566D">
      <w:pPr>
        <w:autoSpaceDE w:val="0"/>
        <w:autoSpaceDN w:val="0"/>
        <w:adjustRightInd w:val="0"/>
        <w:spacing w:line="240" w:lineRule="atLeast"/>
        <w:jc w:val="both"/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3. Was meint Engels mit seinem</w:t>
      </w:r>
      <w:r w:rsidRPr="0012426C">
        <w:rPr>
          <w:i/>
          <w:sz w:val="22"/>
          <w:szCs w:val="22"/>
        </w:rPr>
        <w:t xml:space="preserve"> Ausruf </w:t>
      </w:r>
      <w:r w:rsidR="00361311">
        <w:rPr>
          <w:i/>
          <w:sz w:val="22"/>
          <w:szCs w:val="22"/>
        </w:rPr>
        <w:t>„</w:t>
      </w:r>
      <w:r w:rsidRPr="0012426C">
        <w:rPr>
          <w:rFonts w:cs="Arial"/>
          <w:i/>
          <w:sz w:val="22"/>
          <w:szCs w:val="22"/>
        </w:rPr>
        <w:t>Ihr habt die Polen verschluckt, verdauen werdet Ihr sie bei Gott nicht!</w:t>
      </w:r>
      <w:r w:rsidR="00361311">
        <w:rPr>
          <w:rFonts w:cs="Arial"/>
          <w:i/>
          <w:sz w:val="22"/>
          <w:szCs w:val="22"/>
        </w:rPr>
        <w:t>“</w:t>
      </w:r>
      <w:r>
        <w:rPr>
          <w:rFonts w:cs="Arial"/>
          <w:i/>
          <w:sz w:val="22"/>
          <w:szCs w:val="22"/>
        </w:rPr>
        <w:t xml:space="preserve"> Hat er am Ende Recht behalten?</w:t>
      </w:r>
    </w:p>
    <w:sectPr w:rsidR="0012426C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8" w:rsidRDefault="00DB3AF8">
      <w:r>
        <w:separator/>
      </w:r>
    </w:p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</w:endnote>
  <w:endnote w:type="continuationSeparator" w:id="0">
    <w:p w:rsidR="00DB3AF8" w:rsidRDefault="00DB3AF8">
      <w:r>
        <w:continuationSeparator/>
      </w:r>
    </w:p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37A17CC" wp14:editId="1DEFBE69">
                                  <wp:extent cx="1238250" cy="533400"/>
                                  <wp:effectExtent l="0" t="0" r="0" b="0"/>
                                  <wp:docPr id="20" name="Grafik 20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15723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15723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8" w:rsidRDefault="00DB3AF8">
      <w:r>
        <w:separator/>
      </w:r>
    </w:p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</w:footnote>
  <w:footnote w:type="continuationSeparator" w:id="0">
    <w:p w:rsidR="00DB3AF8" w:rsidRDefault="00DB3AF8">
      <w:r>
        <w:continuationSeparator/>
      </w:r>
    </w:p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  <w:p w:rsidR="00DB3AF8" w:rsidRDefault="00DB3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1BB3F83" wp14:editId="178074C3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8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69BD"/>
    <w:rsid w:val="0024442C"/>
    <w:rsid w:val="00251BD7"/>
    <w:rsid w:val="00253B0C"/>
    <w:rsid w:val="00255097"/>
    <w:rsid w:val="002574F4"/>
    <w:rsid w:val="00257EB8"/>
    <w:rsid w:val="00261D70"/>
    <w:rsid w:val="00276128"/>
    <w:rsid w:val="00280069"/>
    <w:rsid w:val="002826BB"/>
    <w:rsid w:val="00282D72"/>
    <w:rsid w:val="002833C2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162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E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572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51EC"/>
    <w:rsid w:val="00796776"/>
    <w:rsid w:val="00797021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5993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62939"/>
    <w:rsid w:val="00963518"/>
    <w:rsid w:val="00971E69"/>
    <w:rsid w:val="00973750"/>
    <w:rsid w:val="0098656D"/>
    <w:rsid w:val="00990706"/>
    <w:rsid w:val="0099163E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241E4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12F13"/>
    <w:rsid w:val="00D2266B"/>
    <w:rsid w:val="00D31D55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3AF8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2D00-C502-42F3-8797-FBDD6A3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2402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2014-08-20T14:46:00Z</cp:lastPrinted>
  <dcterms:created xsi:type="dcterms:W3CDTF">2014-08-20T14:36:00Z</dcterms:created>
  <dcterms:modified xsi:type="dcterms:W3CDTF">2014-08-20T14:46:00Z</dcterms:modified>
  <cp:category>Aktualitätendienst Politik</cp:category>
</cp:coreProperties>
</file>