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0680E" w14:textId="51C414ED" w:rsidR="003A2FC6" w:rsidRPr="004C1AE7" w:rsidRDefault="006045AB" w:rsidP="00303F33">
      <w:pPr>
        <w:pStyle w:val="0berschrift2"/>
        <w:jc w:val="both"/>
        <w:rPr>
          <w:rFonts w:eastAsia="Courier New" w:cs="Arial"/>
          <w:b/>
          <w:sz w:val="24"/>
          <w:szCs w:val="22"/>
          <w:u w:val="none"/>
        </w:rPr>
      </w:pPr>
      <w:bookmarkStart w:id="0" w:name="bookmark49"/>
      <w:r w:rsidRPr="004C1AE7">
        <w:rPr>
          <w:rFonts w:eastAsia="Courier New" w:cs="Arial"/>
          <w:b/>
          <w:sz w:val="24"/>
          <w:szCs w:val="22"/>
          <w:u w:val="none"/>
        </w:rPr>
        <w:t>Minderheiten und kulturelle Vielfalt in Polen</w:t>
      </w:r>
    </w:p>
    <w:p w14:paraId="307D9D1C" w14:textId="77777777" w:rsidR="006045AB" w:rsidRPr="004C1AE7" w:rsidRDefault="006045AB" w:rsidP="00303F33">
      <w:pPr>
        <w:pStyle w:val="0berschrift3"/>
        <w:jc w:val="both"/>
        <w:rPr>
          <w:rFonts w:eastAsia="Courier New" w:cs="Arial"/>
          <w:b w:val="0"/>
          <w:i/>
          <w:sz w:val="24"/>
          <w:szCs w:val="22"/>
          <w:u w:val="single"/>
        </w:rPr>
      </w:pPr>
    </w:p>
    <w:p w14:paraId="0106A579" w14:textId="77777777" w:rsidR="006045AB" w:rsidRPr="004C1AE7" w:rsidRDefault="003A2FC6" w:rsidP="00303F33">
      <w:pPr>
        <w:pStyle w:val="0berschrift3"/>
        <w:jc w:val="both"/>
        <w:rPr>
          <w:rFonts w:eastAsia="Courier New" w:cs="Arial"/>
          <w:b w:val="0"/>
          <w:i/>
          <w:sz w:val="24"/>
          <w:szCs w:val="22"/>
          <w:u w:val="single"/>
        </w:rPr>
      </w:pPr>
      <w:r w:rsidRPr="004C1AE7">
        <w:rPr>
          <w:rFonts w:eastAsia="Courier New" w:cs="Arial"/>
          <w:b w:val="0"/>
          <w:i/>
          <w:sz w:val="24"/>
          <w:szCs w:val="22"/>
          <w:u w:val="single"/>
        </w:rPr>
        <w:t>Einführung</w:t>
      </w:r>
      <w:bookmarkEnd w:id="0"/>
    </w:p>
    <w:p w14:paraId="11CDDAE7" w14:textId="77777777" w:rsidR="00A217FB" w:rsidRPr="004C1AE7" w:rsidRDefault="00A217FB" w:rsidP="00303F33">
      <w:pPr>
        <w:pStyle w:val="1Standardflietext"/>
        <w:jc w:val="both"/>
        <w:rPr>
          <w:rFonts w:cs="Arial"/>
          <w:sz w:val="22"/>
          <w:szCs w:val="22"/>
        </w:rPr>
      </w:pPr>
    </w:p>
    <w:p w14:paraId="37F64DE8" w14:textId="54788440" w:rsidR="009C70A6" w:rsidRPr="004C1AE7" w:rsidRDefault="00834288" w:rsidP="00303F33">
      <w:pPr>
        <w:pStyle w:val="1Standardflietext"/>
        <w:jc w:val="both"/>
        <w:rPr>
          <w:rFonts w:cs="Arial"/>
          <w:sz w:val="22"/>
          <w:szCs w:val="22"/>
        </w:rPr>
      </w:pPr>
      <w:r w:rsidRPr="004C1AE7">
        <w:rPr>
          <w:rFonts w:cs="Arial"/>
          <w:sz w:val="22"/>
          <w:szCs w:val="22"/>
        </w:rPr>
        <w:t xml:space="preserve">Durch den Regierungswechsel in Polen nach den Parlamentswahlen 2015 bekam das Thema „Minderheiten und kulturelle Vielfalt“ in Polen neue Brisanz. Die national-konservative Partei PiS erlangte mit einem Wahlergebnis von </w:t>
      </w:r>
      <w:r w:rsidR="009C70A6" w:rsidRPr="004C1AE7">
        <w:rPr>
          <w:rFonts w:cs="Arial"/>
          <w:sz w:val="22"/>
          <w:szCs w:val="22"/>
        </w:rPr>
        <w:t>39% die absolute Mehrheit und lässt seitdem keinen Zweifel daran, nationale Interessen über europäische stellen</w:t>
      </w:r>
      <w:r w:rsidR="00FB3C5B" w:rsidRPr="004C1AE7">
        <w:rPr>
          <w:rFonts w:cs="Arial"/>
          <w:sz w:val="22"/>
          <w:szCs w:val="22"/>
        </w:rPr>
        <w:t xml:space="preserve"> zu wollen</w:t>
      </w:r>
      <w:r w:rsidR="009C70A6" w:rsidRPr="004C1AE7">
        <w:rPr>
          <w:rFonts w:cs="Arial"/>
          <w:sz w:val="22"/>
          <w:szCs w:val="22"/>
        </w:rPr>
        <w:t xml:space="preserve">. Dazu gehört auch die ablehnende Haltung gegenüber der Aufnahme von Flüchtlingen und Andersgläubigen. Allerdings gaben in </w:t>
      </w:r>
      <w:r w:rsidRPr="004C1AE7">
        <w:rPr>
          <w:rFonts w:cs="Arial"/>
          <w:sz w:val="22"/>
          <w:szCs w:val="22"/>
        </w:rPr>
        <w:t xml:space="preserve">einer </w:t>
      </w:r>
      <w:r w:rsidR="009C70A6" w:rsidRPr="004C1AE7">
        <w:rPr>
          <w:rFonts w:cs="Arial"/>
          <w:sz w:val="22"/>
          <w:szCs w:val="22"/>
        </w:rPr>
        <w:t xml:space="preserve">bereits </w:t>
      </w:r>
      <w:r w:rsidRPr="004C1AE7">
        <w:rPr>
          <w:rFonts w:cs="Arial"/>
          <w:sz w:val="22"/>
          <w:szCs w:val="22"/>
        </w:rPr>
        <w:t xml:space="preserve">im Juli 2015 veröffentlichten Meinungsumfrage 70 Prozent der Befragten an, sie wollten keine Flüchtlinge aus muslimischen oder afrikanischen Ländern in Polen. "Die Angst der Polen vor den Flüchtlingen entsteht vor allem aus Unwissen" sagte </w:t>
      </w:r>
      <w:r w:rsidR="009C70A6" w:rsidRPr="004C1AE7">
        <w:rPr>
          <w:rFonts w:cs="Arial"/>
          <w:sz w:val="22"/>
          <w:szCs w:val="22"/>
        </w:rPr>
        <w:t xml:space="preserve">damals </w:t>
      </w:r>
      <w:r w:rsidRPr="004C1AE7">
        <w:rPr>
          <w:rFonts w:cs="Arial"/>
          <w:sz w:val="22"/>
          <w:szCs w:val="22"/>
        </w:rPr>
        <w:t>Janina Ochojska, die</w:t>
      </w:r>
      <w:r w:rsidRPr="004C1AE7">
        <w:rPr>
          <w:rStyle w:val="Fett"/>
          <w:rFonts w:cs="Arial"/>
          <w:sz w:val="22"/>
          <w:szCs w:val="22"/>
        </w:rPr>
        <w:t xml:space="preserve"> </w:t>
      </w:r>
      <w:r w:rsidRPr="004C1AE7">
        <w:rPr>
          <w:rFonts w:cs="Arial"/>
          <w:sz w:val="22"/>
          <w:szCs w:val="22"/>
        </w:rPr>
        <w:t>bekannteste Mensc</w:t>
      </w:r>
      <w:r w:rsidR="00FB3C5B" w:rsidRPr="004C1AE7">
        <w:rPr>
          <w:rFonts w:cs="Arial"/>
          <w:sz w:val="22"/>
          <w:szCs w:val="22"/>
        </w:rPr>
        <w:t>henrechtsaktivistin des Landes. „</w:t>
      </w:r>
      <w:r w:rsidRPr="004C1AE7">
        <w:rPr>
          <w:rFonts w:cs="Arial"/>
          <w:sz w:val="22"/>
          <w:szCs w:val="22"/>
        </w:rPr>
        <w:t xml:space="preserve">Die Polen kennen keine Ausländer, erst recht keine Muslime. Wir brauchen viel mehr Bildungsangebote, Informationsportale und Schulungen für Beamte, um ankommende Menschen und ihre Kultur verstehen zu können.“ Tatsächlich hat die polnische Bevölkerung </w:t>
      </w:r>
      <w:r w:rsidR="009C70A6" w:rsidRPr="004C1AE7">
        <w:rPr>
          <w:rFonts w:cs="Arial"/>
          <w:sz w:val="22"/>
          <w:szCs w:val="22"/>
        </w:rPr>
        <w:t xml:space="preserve">in der Regel </w:t>
      </w:r>
      <w:r w:rsidRPr="004C1AE7">
        <w:rPr>
          <w:rFonts w:cs="Arial"/>
          <w:sz w:val="22"/>
          <w:szCs w:val="22"/>
        </w:rPr>
        <w:t>kaum Kontakt zu Flüchtlingen, weshalb die Angst vor ihnen vor allem eine Angst vor dem Unbekannten ist. Polen ist seit Ende des Zweiten Weltkrieges ein ethnisch</w:t>
      </w:r>
      <w:r w:rsidR="009C70A6" w:rsidRPr="004C1AE7">
        <w:rPr>
          <w:rFonts w:cs="Arial"/>
          <w:sz w:val="22"/>
          <w:szCs w:val="22"/>
        </w:rPr>
        <w:t>, sprachlich, konfessionell und kulturell</w:t>
      </w:r>
      <w:r w:rsidRPr="004C1AE7">
        <w:rPr>
          <w:rFonts w:cs="Arial"/>
          <w:sz w:val="22"/>
          <w:szCs w:val="22"/>
        </w:rPr>
        <w:t xml:space="preserve"> fast homogenes Land mit einem Ausländeranteil von 0,27 Prozent. Damit ist man das Schlusslicht in der EU. </w:t>
      </w:r>
    </w:p>
    <w:p w14:paraId="0841A2FB" w14:textId="77777777" w:rsidR="00A217FB" w:rsidRPr="004C1AE7" w:rsidRDefault="009C70A6" w:rsidP="00303F33">
      <w:pPr>
        <w:pStyle w:val="1Standardflietext"/>
        <w:jc w:val="both"/>
        <w:rPr>
          <w:rFonts w:cs="Arial"/>
          <w:sz w:val="22"/>
          <w:szCs w:val="22"/>
        </w:rPr>
      </w:pPr>
      <w:r w:rsidRPr="004C1AE7">
        <w:rPr>
          <w:rFonts w:cs="Arial"/>
          <w:sz w:val="22"/>
          <w:szCs w:val="22"/>
        </w:rPr>
        <w:t xml:space="preserve">Die Ursache dafür liegt im Umgang mit nationalen Minderheiten durch die kommunistischen Regierungen nach 1945. </w:t>
      </w:r>
      <w:r w:rsidR="00A217FB" w:rsidRPr="004C1AE7">
        <w:rPr>
          <w:rFonts w:cs="Arial"/>
          <w:sz w:val="22"/>
          <w:szCs w:val="22"/>
        </w:rPr>
        <w:t>Als Konsequenz aus der national</w:t>
      </w:r>
      <w:r w:rsidR="00A217FB" w:rsidRPr="004C1AE7">
        <w:rPr>
          <w:rFonts w:cs="Arial"/>
          <w:sz w:val="22"/>
          <w:szCs w:val="22"/>
        </w:rPr>
        <w:softHyphen/>
        <w:t>sozialistischen und stalinistischen Besatzungspolitik sowie den häufigen Konflikten mit den ethnischen Gruppierungen in den 193</w:t>
      </w:r>
      <w:r w:rsidRPr="004C1AE7">
        <w:rPr>
          <w:rFonts w:cs="Arial"/>
          <w:sz w:val="22"/>
          <w:szCs w:val="22"/>
        </w:rPr>
        <w:t>0er-Jahren wünschte man sich nach den Erfahrungen des Kriegs</w:t>
      </w:r>
      <w:r w:rsidR="00A217FB" w:rsidRPr="004C1AE7">
        <w:rPr>
          <w:rFonts w:cs="Arial"/>
          <w:sz w:val="22"/>
          <w:szCs w:val="22"/>
        </w:rPr>
        <w:t xml:space="preserve"> eine Nation ohne Minder</w:t>
      </w:r>
      <w:r w:rsidR="00A217FB" w:rsidRPr="004C1AE7">
        <w:rPr>
          <w:rFonts w:cs="Arial"/>
          <w:sz w:val="22"/>
          <w:szCs w:val="22"/>
        </w:rPr>
        <w:softHyphen/>
        <w:t>heiten. In den neuen Grenzen Polens entstand da</w:t>
      </w:r>
      <w:r w:rsidR="00A217FB" w:rsidRPr="004C1AE7">
        <w:rPr>
          <w:rFonts w:cs="Arial"/>
          <w:sz w:val="22"/>
          <w:szCs w:val="22"/>
        </w:rPr>
        <w:softHyphen/>
        <w:t xml:space="preserve">her </w:t>
      </w:r>
      <w:r w:rsidR="00A217FB" w:rsidRPr="004C1AE7">
        <w:rPr>
          <w:rFonts w:cs="Arial"/>
          <w:b/>
          <w:bCs/>
          <w:sz w:val="22"/>
          <w:szCs w:val="22"/>
        </w:rPr>
        <w:t>einer der ethnisch homogensten Staaten Euro</w:t>
      </w:r>
      <w:r w:rsidR="00A217FB" w:rsidRPr="004C1AE7">
        <w:rPr>
          <w:rFonts w:cs="Arial"/>
          <w:b/>
          <w:bCs/>
          <w:sz w:val="22"/>
          <w:szCs w:val="22"/>
        </w:rPr>
        <w:softHyphen/>
        <w:t>pas</w:t>
      </w:r>
      <w:r w:rsidR="00A217FB" w:rsidRPr="004C1AE7">
        <w:rPr>
          <w:rFonts w:cs="Arial"/>
          <w:sz w:val="22"/>
          <w:szCs w:val="22"/>
        </w:rPr>
        <w:t>. Das bestätigte die polnische Volkszählung von 2002, die zum ersten Mal Zahlen zur Her</w:t>
      </w:r>
      <w:r w:rsidR="00A217FB" w:rsidRPr="004C1AE7">
        <w:rPr>
          <w:rFonts w:cs="Arial"/>
          <w:sz w:val="22"/>
          <w:szCs w:val="22"/>
        </w:rPr>
        <w:softHyphen/>
        <w:t>kunft der polnischen Bürger lieferte. Nur etwas mehr als drei Prozent der Bürger gaben eine ande</w:t>
      </w:r>
      <w:r w:rsidR="00A217FB" w:rsidRPr="004C1AE7">
        <w:rPr>
          <w:rFonts w:cs="Arial"/>
          <w:sz w:val="22"/>
          <w:szCs w:val="22"/>
        </w:rPr>
        <w:softHyphen/>
        <w:t xml:space="preserve">re als die polnische Nationalität an. </w:t>
      </w:r>
    </w:p>
    <w:p w14:paraId="69718BDE" w14:textId="77777777" w:rsidR="00A217FB" w:rsidRPr="004C1AE7" w:rsidRDefault="00A217FB" w:rsidP="00303F33">
      <w:pPr>
        <w:pStyle w:val="1Standardflietext"/>
        <w:keepLines/>
        <w:jc w:val="both"/>
        <w:rPr>
          <w:rFonts w:cs="Arial"/>
          <w:color w:val="000000"/>
          <w:sz w:val="22"/>
          <w:szCs w:val="22"/>
        </w:rPr>
      </w:pPr>
      <w:r w:rsidRPr="004C1AE7">
        <w:rPr>
          <w:rFonts w:cs="Arial"/>
          <w:color w:val="000000"/>
          <w:sz w:val="22"/>
          <w:szCs w:val="22"/>
        </w:rPr>
        <w:t xml:space="preserve">Im heutigen Polen gibt es </w:t>
      </w:r>
      <w:r w:rsidRPr="004C1AE7">
        <w:rPr>
          <w:rFonts w:cs="Arial"/>
          <w:b/>
          <w:bCs/>
          <w:color w:val="000000"/>
          <w:sz w:val="22"/>
          <w:szCs w:val="22"/>
        </w:rPr>
        <w:t>nationale, ethnische und sprachliche Minderheiten</w:t>
      </w:r>
      <w:r w:rsidRPr="004C1AE7">
        <w:rPr>
          <w:rFonts w:cs="Arial"/>
          <w:color w:val="000000"/>
          <w:sz w:val="22"/>
          <w:szCs w:val="22"/>
        </w:rPr>
        <w:t xml:space="preserve">, die </w:t>
      </w:r>
      <w:r w:rsidR="009C70A6" w:rsidRPr="004C1AE7">
        <w:rPr>
          <w:rFonts w:cs="Arial"/>
          <w:color w:val="000000"/>
          <w:sz w:val="22"/>
          <w:szCs w:val="22"/>
        </w:rPr>
        <w:t xml:space="preserve">bis 1989 zum Teil unterdrückt wurden und seitdem </w:t>
      </w:r>
      <w:r w:rsidRPr="004C1AE7">
        <w:rPr>
          <w:rFonts w:cs="Arial"/>
          <w:color w:val="000000"/>
          <w:sz w:val="22"/>
          <w:szCs w:val="22"/>
        </w:rPr>
        <w:t xml:space="preserve">in Polen den Schutz der Verfassung und des Gesetzes über nationale und ethnische Minderheiten genießen. </w:t>
      </w:r>
      <w:r w:rsidRPr="004C1AE7">
        <w:rPr>
          <w:rFonts w:cs="Arial"/>
          <w:b/>
          <w:bCs/>
          <w:color w:val="000000"/>
          <w:sz w:val="22"/>
          <w:szCs w:val="22"/>
        </w:rPr>
        <w:t xml:space="preserve">Nationale Minderheiten </w:t>
      </w:r>
      <w:r w:rsidRPr="004C1AE7">
        <w:rPr>
          <w:rFonts w:cs="Arial"/>
          <w:color w:val="000000"/>
          <w:sz w:val="22"/>
          <w:szCs w:val="22"/>
        </w:rPr>
        <w:t>sind Angehörige solcher ethnischer Minderheiten, die außerhalb Polens einen eigenen Staat haben, in dem sie die Mehrheit sind. In Polen sind das unter anderem 152 900 Deutsche. Tatsächlich schätzt man die Zahl allerdings auf ca. 300 000 Bürger deut</w:t>
      </w:r>
      <w:r w:rsidRPr="004C1AE7">
        <w:rPr>
          <w:rFonts w:cs="Arial"/>
          <w:color w:val="000000"/>
          <w:sz w:val="22"/>
          <w:szCs w:val="22"/>
        </w:rPr>
        <w:softHyphen/>
        <w:t>scher Herkunft, denn allein etwa 200 000 von ihnen besitzen neben dem polnischen auch einen deutschen Pass. Sie leben vorwiegend in den Woiwodschaften Oppeln und Ermland-Masuren. Kleinere Gruppen existieren in Pommern, Danzig, Bromberg, Thorn, Posen, Schlesien und Nieder</w:t>
      </w:r>
      <w:r w:rsidRPr="004C1AE7">
        <w:rPr>
          <w:rFonts w:cs="Arial"/>
          <w:color w:val="000000"/>
          <w:sz w:val="22"/>
          <w:szCs w:val="22"/>
        </w:rPr>
        <w:softHyphen/>
        <w:t>schlesien. Weitere Minderheitengruppen sind: 31 000 Ukrainer, 48 700 Weißrussen, 6100 Rus</w:t>
      </w:r>
      <w:r w:rsidRPr="004C1AE7">
        <w:rPr>
          <w:rFonts w:cs="Arial"/>
          <w:color w:val="000000"/>
          <w:sz w:val="22"/>
          <w:szCs w:val="22"/>
        </w:rPr>
        <w:softHyphen/>
        <w:t>sen, 2000 Slowaken, 800 Tschechen, 5800 Litau</w:t>
      </w:r>
      <w:r w:rsidRPr="004C1AE7">
        <w:rPr>
          <w:rFonts w:cs="Arial"/>
          <w:color w:val="000000"/>
          <w:sz w:val="22"/>
          <w:szCs w:val="22"/>
        </w:rPr>
        <w:softHyphen/>
        <w:t xml:space="preserve">er und 1200 Juden. </w:t>
      </w:r>
      <w:r w:rsidRPr="004C1AE7">
        <w:rPr>
          <w:rFonts w:cs="Arial"/>
          <w:b/>
          <w:bCs/>
          <w:color w:val="000000"/>
          <w:sz w:val="22"/>
          <w:szCs w:val="22"/>
        </w:rPr>
        <w:t xml:space="preserve">Ethnische Minderheiten </w:t>
      </w:r>
      <w:r w:rsidRPr="004C1AE7">
        <w:rPr>
          <w:rFonts w:cs="Arial"/>
          <w:color w:val="000000"/>
          <w:sz w:val="22"/>
          <w:szCs w:val="22"/>
        </w:rPr>
        <w:t xml:space="preserve">sind den Polen gegenüber zahlenmäßig geringere Volksgruppen, die im Gegensatz zu nationalen Minderheiten außerhalb ihres Siedlungsgebietes keinen eigenen Staat (Titularnation) haben. Zu dieser Gruppe gehören in Polen 12 900 Roma, 5800 Lemken, 5000 Tataren und 200 Karaimen. </w:t>
      </w:r>
      <w:r w:rsidRPr="004C1AE7">
        <w:rPr>
          <w:rFonts w:cs="Arial"/>
          <w:b/>
          <w:bCs/>
          <w:color w:val="000000"/>
          <w:sz w:val="22"/>
          <w:szCs w:val="22"/>
        </w:rPr>
        <w:t xml:space="preserve">Sprachliche Minderheiten </w:t>
      </w:r>
      <w:r w:rsidRPr="004C1AE7">
        <w:rPr>
          <w:rFonts w:cs="Arial"/>
          <w:color w:val="000000"/>
          <w:sz w:val="22"/>
          <w:szCs w:val="22"/>
        </w:rPr>
        <w:t>sind weder ethnische noch nationale Minderheiten, haben aber eine an</w:t>
      </w:r>
      <w:r w:rsidRPr="004C1AE7">
        <w:rPr>
          <w:rFonts w:cs="Arial"/>
          <w:color w:val="000000"/>
          <w:sz w:val="22"/>
          <w:szCs w:val="22"/>
        </w:rPr>
        <w:softHyphen/>
        <w:t xml:space="preserve">dere Muttersprache als die Bevölkerungsmehrheit, wie die 5100 Kaschuben in Polen. </w:t>
      </w:r>
    </w:p>
    <w:p w14:paraId="77769D0B" w14:textId="6DA7E914"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Einen Sonderfall stellt die Gruppe dar, die sich nach nationalen Kriterien weder als Deutsche noch als Polen, sondern als Schlesier fühlt. Deut</w:t>
      </w:r>
      <w:r w:rsidRPr="004C1AE7">
        <w:rPr>
          <w:rFonts w:cs="Arial"/>
          <w:color w:val="000000"/>
          <w:sz w:val="22"/>
          <w:szCs w:val="22"/>
        </w:rPr>
        <w:softHyphen/>
        <w:t xml:space="preserve">lich wurde die Existenz dieser Gruppe erst bei der Volkszählung 2002, als </w:t>
      </w:r>
      <w:r w:rsidRPr="004C1AE7">
        <w:rPr>
          <w:rFonts w:cs="Arial"/>
          <w:b/>
          <w:bCs/>
          <w:color w:val="000000"/>
          <w:sz w:val="22"/>
          <w:szCs w:val="22"/>
        </w:rPr>
        <w:t xml:space="preserve">173 </w:t>
      </w:r>
      <w:r w:rsidR="00FB3C5B" w:rsidRPr="004C1AE7">
        <w:rPr>
          <w:rFonts w:cs="Arial"/>
          <w:b/>
          <w:bCs/>
          <w:color w:val="000000"/>
          <w:sz w:val="22"/>
          <w:szCs w:val="22"/>
        </w:rPr>
        <w:t>200 Bürger unter Na</w:t>
      </w:r>
      <w:r w:rsidR="00FB3C5B" w:rsidRPr="004C1AE7">
        <w:rPr>
          <w:rFonts w:cs="Arial"/>
          <w:b/>
          <w:bCs/>
          <w:color w:val="000000"/>
          <w:sz w:val="22"/>
          <w:szCs w:val="22"/>
        </w:rPr>
        <w:softHyphen/>
        <w:t>tionalität „Schlesier“</w:t>
      </w:r>
      <w:r w:rsidRPr="004C1AE7">
        <w:rPr>
          <w:rFonts w:cs="Arial"/>
          <w:b/>
          <w:bCs/>
          <w:color w:val="000000"/>
          <w:sz w:val="22"/>
          <w:szCs w:val="22"/>
        </w:rPr>
        <w:t xml:space="preserve"> </w:t>
      </w:r>
      <w:r w:rsidRPr="004C1AE7">
        <w:rPr>
          <w:rFonts w:cs="Arial"/>
          <w:color w:val="000000"/>
          <w:sz w:val="22"/>
          <w:szCs w:val="22"/>
        </w:rPr>
        <w:t>eintrugen und sich deshalb auch die Anzahl der Deutschen in der Volkszäh</w:t>
      </w:r>
      <w:r w:rsidRPr="004C1AE7">
        <w:rPr>
          <w:rFonts w:cs="Arial"/>
          <w:color w:val="000000"/>
          <w:sz w:val="22"/>
          <w:szCs w:val="22"/>
        </w:rPr>
        <w:softHyphen/>
        <w:t>lung verringerte. Diese Gruppe ist weder als Min</w:t>
      </w:r>
      <w:r w:rsidRPr="004C1AE7">
        <w:rPr>
          <w:rFonts w:cs="Arial"/>
          <w:color w:val="000000"/>
          <w:sz w:val="22"/>
          <w:szCs w:val="22"/>
        </w:rPr>
        <w:softHyphen/>
        <w:t>derheit anerkannt, noch gilt ihre Sprache als Regi</w:t>
      </w:r>
      <w:r w:rsidRPr="004C1AE7">
        <w:rPr>
          <w:rFonts w:cs="Arial"/>
          <w:color w:val="000000"/>
          <w:sz w:val="22"/>
          <w:szCs w:val="22"/>
        </w:rPr>
        <w:softHyphen/>
        <w:t>onalsprache.</w:t>
      </w:r>
    </w:p>
    <w:p w14:paraId="626AC162" w14:textId="77777777"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 xml:space="preserve">Mit einem Bevölkerungsanteil von etwa 90 % Katholiken gilt </w:t>
      </w:r>
      <w:r w:rsidRPr="004C1AE7">
        <w:rPr>
          <w:rFonts w:cs="Arial"/>
          <w:b/>
          <w:bCs/>
          <w:color w:val="000000"/>
          <w:sz w:val="22"/>
          <w:szCs w:val="22"/>
        </w:rPr>
        <w:t>Polen neben Irland als das katho</w:t>
      </w:r>
      <w:r w:rsidRPr="004C1AE7">
        <w:rPr>
          <w:rFonts w:cs="Arial"/>
          <w:b/>
          <w:bCs/>
          <w:color w:val="000000"/>
          <w:sz w:val="22"/>
          <w:szCs w:val="22"/>
        </w:rPr>
        <w:softHyphen/>
        <w:t>lischste Land Europas</w:t>
      </w:r>
      <w:r w:rsidRPr="004C1AE7">
        <w:rPr>
          <w:rFonts w:cs="Arial"/>
          <w:color w:val="000000"/>
          <w:sz w:val="22"/>
          <w:szCs w:val="22"/>
        </w:rPr>
        <w:t xml:space="preserve">. Damit ist unser Nachbarland, genau wie beim Anteil nationaler und ethnischer Minderheiten, auch bezogen auf die Religionszugehörigkeit, ein sehr homogenes Land. </w:t>
      </w:r>
    </w:p>
    <w:p w14:paraId="66AB646C" w14:textId="5DA598C7"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lastRenderedPageBreak/>
        <w:t>Das war nicht immer so. Vor 1939 waren nur zwei von drei Staatsbürgern ethnisch Polen und auch nur zwei Drittel der Bürger katholisch. Mul</w:t>
      </w:r>
      <w:r w:rsidRPr="004C1AE7">
        <w:rPr>
          <w:rFonts w:cs="Arial"/>
          <w:color w:val="000000"/>
          <w:sz w:val="22"/>
          <w:szCs w:val="22"/>
        </w:rPr>
        <w:softHyphen/>
        <w:t xml:space="preserve">tiethnizität und Multikonfessionalität hingen hier eng zusammen. Im Selbstverständnis sehr vieler Polen konnte </w:t>
      </w:r>
      <w:r w:rsidR="00FB3C5B" w:rsidRPr="004C1AE7">
        <w:rPr>
          <w:rFonts w:cs="Arial"/>
          <w:color w:val="000000"/>
          <w:sz w:val="22"/>
          <w:szCs w:val="22"/>
        </w:rPr>
        <w:t xml:space="preserve">aber </w:t>
      </w:r>
      <w:r w:rsidRPr="004C1AE7">
        <w:rPr>
          <w:rFonts w:cs="Arial"/>
          <w:color w:val="000000"/>
          <w:sz w:val="22"/>
          <w:szCs w:val="22"/>
        </w:rPr>
        <w:t>nur ein Katholik auch ein guter Pole sein. Die Verfassung der Republik Polen sichert je</w:t>
      </w:r>
      <w:r w:rsidRPr="004C1AE7">
        <w:rPr>
          <w:rFonts w:cs="Arial"/>
          <w:color w:val="000000"/>
          <w:sz w:val="22"/>
          <w:szCs w:val="22"/>
        </w:rPr>
        <w:softHyphen/>
        <w:t xml:space="preserve">dem Bürger Religionsfreiheit zu. </w:t>
      </w:r>
    </w:p>
    <w:p w14:paraId="371799FA" w14:textId="01F1A006"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 xml:space="preserve">Heute bekennen sich ca. 60 000 Gläubige zur Unierten </w:t>
      </w:r>
      <w:r w:rsidRPr="004C1AE7">
        <w:rPr>
          <w:rFonts w:cs="Arial"/>
          <w:b/>
          <w:bCs/>
          <w:color w:val="000000"/>
          <w:sz w:val="22"/>
          <w:szCs w:val="22"/>
        </w:rPr>
        <w:t xml:space="preserve">katholischen Kirche </w:t>
      </w:r>
      <w:r w:rsidRPr="004C1AE7">
        <w:rPr>
          <w:rFonts w:cs="Arial"/>
          <w:color w:val="000000"/>
          <w:sz w:val="22"/>
          <w:szCs w:val="22"/>
        </w:rPr>
        <w:t>(ukrainisch), die Or</w:t>
      </w:r>
      <w:r w:rsidRPr="004C1AE7">
        <w:rPr>
          <w:rFonts w:cs="Arial"/>
          <w:color w:val="000000"/>
          <w:sz w:val="22"/>
          <w:szCs w:val="22"/>
        </w:rPr>
        <w:softHyphen/>
        <w:t>thodoxe Kirche zählt 505 260 Mitglieder (Ukrai</w:t>
      </w:r>
      <w:r w:rsidRPr="004C1AE7">
        <w:rPr>
          <w:rFonts w:cs="Arial"/>
          <w:color w:val="000000"/>
          <w:sz w:val="22"/>
          <w:szCs w:val="22"/>
        </w:rPr>
        <w:softHyphen/>
        <w:t xml:space="preserve">ner und Weißrussen), 75 000 Polen rechnen sich der </w:t>
      </w:r>
      <w:r w:rsidR="00FB3C5B" w:rsidRPr="004C1AE7">
        <w:rPr>
          <w:rFonts w:cs="Arial"/>
          <w:color w:val="000000"/>
          <w:sz w:val="22"/>
          <w:szCs w:val="22"/>
        </w:rPr>
        <w:t>e</w:t>
      </w:r>
      <w:r w:rsidRPr="004C1AE7">
        <w:rPr>
          <w:rFonts w:cs="Arial"/>
          <w:color w:val="000000"/>
          <w:sz w:val="22"/>
          <w:szCs w:val="22"/>
        </w:rPr>
        <w:t>vangelisch-augsburgischen Kirche zu, Altka</w:t>
      </w:r>
      <w:r w:rsidRPr="004C1AE7">
        <w:rPr>
          <w:rFonts w:cs="Arial"/>
          <w:color w:val="000000"/>
          <w:sz w:val="22"/>
          <w:szCs w:val="22"/>
        </w:rPr>
        <w:softHyphen/>
        <w:t>tholische Mariaviten sind rund 23 660, die Neuapostolische Kirche zählt 4853 Gläubige, die Zeu</w:t>
      </w:r>
      <w:r w:rsidRPr="004C1AE7">
        <w:rPr>
          <w:rFonts w:cs="Arial"/>
          <w:color w:val="000000"/>
          <w:sz w:val="22"/>
          <w:szCs w:val="22"/>
        </w:rPr>
        <w:softHyphen/>
        <w:t>gen Jehovas 128 200, die Anzahl der Mitglieder der jüdischen Gemeinden beträgt etwa 1400.</w:t>
      </w:r>
    </w:p>
    <w:p w14:paraId="223BE2D3" w14:textId="77777777"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 xml:space="preserve">Wie in jeder Gesellschaft gibt es auch in Polen Minderheiten </w:t>
      </w:r>
      <w:r w:rsidR="002917E8" w:rsidRPr="004C1AE7">
        <w:rPr>
          <w:rFonts w:cs="Arial"/>
          <w:color w:val="000000"/>
          <w:sz w:val="22"/>
          <w:szCs w:val="22"/>
        </w:rPr>
        <w:t xml:space="preserve">in Bezug auf ihre </w:t>
      </w:r>
      <w:r w:rsidR="002917E8" w:rsidRPr="004C1AE7">
        <w:rPr>
          <w:rFonts w:cs="Arial"/>
          <w:b/>
          <w:bCs/>
          <w:color w:val="000000"/>
          <w:sz w:val="22"/>
          <w:szCs w:val="22"/>
        </w:rPr>
        <w:t>sexuelle</w:t>
      </w:r>
      <w:r w:rsidRPr="004C1AE7">
        <w:rPr>
          <w:rFonts w:cs="Arial"/>
          <w:b/>
          <w:bCs/>
          <w:color w:val="000000"/>
          <w:sz w:val="22"/>
          <w:szCs w:val="22"/>
        </w:rPr>
        <w:t xml:space="preserve"> </w:t>
      </w:r>
      <w:r w:rsidRPr="004C1AE7">
        <w:rPr>
          <w:rFonts w:cs="Arial"/>
          <w:b/>
          <w:color w:val="000000"/>
          <w:sz w:val="22"/>
          <w:szCs w:val="22"/>
        </w:rPr>
        <w:t>Orientierung</w:t>
      </w:r>
      <w:r w:rsidRPr="004C1AE7">
        <w:rPr>
          <w:rFonts w:cs="Arial"/>
          <w:color w:val="000000"/>
          <w:sz w:val="22"/>
          <w:szCs w:val="22"/>
        </w:rPr>
        <w:t>. Ihr Status ist anders als der von nationalen und ethnischen Minderheiten. Deshalb fallen ihre Rechte unter die in der polnischen Verfassung ver</w:t>
      </w:r>
      <w:r w:rsidRPr="004C1AE7">
        <w:rPr>
          <w:rFonts w:cs="Arial"/>
          <w:color w:val="000000"/>
          <w:sz w:val="22"/>
          <w:szCs w:val="22"/>
        </w:rPr>
        <w:softHyphen/>
        <w:t xml:space="preserve">ankerten Individualrechte. </w:t>
      </w:r>
    </w:p>
    <w:p w14:paraId="1043B657" w14:textId="681D18AC"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Die sexuellen Minderheiten Polens – kurz LGBT</w:t>
      </w:r>
      <w:r w:rsidR="00FB3C5B" w:rsidRPr="004C1AE7">
        <w:rPr>
          <w:rFonts w:cs="Arial"/>
          <w:color w:val="000000"/>
          <w:sz w:val="22"/>
          <w:szCs w:val="22"/>
        </w:rPr>
        <w:t xml:space="preserve"> </w:t>
      </w:r>
      <w:r w:rsidRPr="004C1AE7">
        <w:rPr>
          <w:rFonts w:cs="Arial"/>
          <w:color w:val="000000"/>
          <w:sz w:val="22"/>
          <w:szCs w:val="22"/>
        </w:rPr>
        <w:t>(für Lesbian, Gay, Bisexual und Transgen</w:t>
      </w:r>
      <w:r w:rsidRPr="004C1AE7">
        <w:rPr>
          <w:rFonts w:cs="Arial"/>
          <w:color w:val="000000"/>
          <w:sz w:val="22"/>
          <w:szCs w:val="22"/>
        </w:rPr>
        <w:softHyphen/>
        <w:t>der) genannt – finden nur wenig Akzeptanz in der polnischen Bevölkerung. Die katholische Kirche verurteilt Homosexualität als Sünde. Kirchennahe und nationalistisch-katholische Gruppierungen schüren eine homosexuellenfeindliche Stimmung. Zwar gibt es kein spezielles Diskriminierungsver</w:t>
      </w:r>
      <w:r w:rsidRPr="004C1AE7">
        <w:rPr>
          <w:rFonts w:cs="Arial"/>
          <w:color w:val="000000"/>
          <w:sz w:val="22"/>
          <w:szCs w:val="22"/>
        </w:rPr>
        <w:softHyphen/>
        <w:t>bot wegen der sexuellen Orientierung in der pol</w:t>
      </w:r>
      <w:r w:rsidRPr="004C1AE7">
        <w:rPr>
          <w:rFonts w:cs="Arial"/>
          <w:color w:val="000000"/>
          <w:sz w:val="22"/>
          <w:szCs w:val="22"/>
        </w:rPr>
        <w:softHyphen/>
        <w:t xml:space="preserve">nischen Verfassung, doch garantiert das polnische </w:t>
      </w:r>
      <w:r w:rsidRPr="004C1AE7">
        <w:rPr>
          <w:rFonts w:cs="Arial"/>
          <w:b/>
          <w:bCs/>
          <w:color w:val="000000"/>
          <w:sz w:val="22"/>
          <w:szCs w:val="22"/>
        </w:rPr>
        <w:t xml:space="preserve">Antidiskriminierungsgesetz </w:t>
      </w:r>
      <w:r w:rsidRPr="004C1AE7">
        <w:rPr>
          <w:rFonts w:cs="Arial"/>
          <w:color w:val="000000"/>
          <w:sz w:val="22"/>
          <w:szCs w:val="22"/>
        </w:rPr>
        <w:t>von 2003 die Gleich</w:t>
      </w:r>
      <w:r w:rsidRPr="004C1AE7">
        <w:rPr>
          <w:rFonts w:cs="Arial"/>
          <w:color w:val="000000"/>
          <w:sz w:val="22"/>
          <w:szCs w:val="22"/>
        </w:rPr>
        <w:softHyphen/>
        <w:t>behandlung unabhängig von der sexuellen Orien</w:t>
      </w:r>
      <w:r w:rsidRPr="004C1AE7">
        <w:rPr>
          <w:rFonts w:cs="Arial"/>
          <w:color w:val="000000"/>
          <w:sz w:val="22"/>
          <w:szCs w:val="22"/>
        </w:rPr>
        <w:softHyphen/>
        <w:t>tierung. Die EU kritisierte die Lebensbedingungen für sexuelle Minderheiten in Polen mehrfach. Be</w:t>
      </w:r>
      <w:r w:rsidRPr="004C1AE7">
        <w:rPr>
          <w:rFonts w:cs="Arial"/>
          <w:color w:val="000000"/>
          <w:sz w:val="22"/>
          <w:szCs w:val="22"/>
        </w:rPr>
        <w:softHyphen/>
        <w:t>sonders schwierig waren die Jahre von 2005 bis 2007 unter der Regierung von Pi</w:t>
      </w:r>
      <w:r w:rsidR="00FB3C5B" w:rsidRPr="004C1AE7">
        <w:rPr>
          <w:rFonts w:cs="Arial"/>
          <w:color w:val="000000"/>
          <w:sz w:val="22"/>
          <w:szCs w:val="22"/>
        </w:rPr>
        <w:t>S (dt. Recht und Gerechtigkeit)</w:t>
      </w:r>
      <w:r w:rsidRPr="004C1AE7">
        <w:rPr>
          <w:rFonts w:cs="Arial"/>
          <w:color w:val="000000"/>
          <w:sz w:val="22"/>
          <w:szCs w:val="22"/>
        </w:rPr>
        <w:t>, Samoobro</w:t>
      </w:r>
      <w:r w:rsidRPr="004C1AE7">
        <w:rPr>
          <w:rFonts w:cs="Arial"/>
          <w:color w:val="000000"/>
          <w:sz w:val="22"/>
          <w:szCs w:val="22"/>
        </w:rPr>
        <w:softHyphen/>
        <w:t>n</w:t>
      </w:r>
      <w:r w:rsidR="00FB3C5B" w:rsidRPr="004C1AE7">
        <w:rPr>
          <w:rFonts w:cs="Arial"/>
          <w:color w:val="000000"/>
          <w:sz w:val="22"/>
          <w:szCs w:val="22"/>
        </w:rPr>
        <w:t xml:space="preserve">a (dt. Selbstverteidigung) </w:t>
      </w:r>
      <w:r w:rsidRPr="004C1AE7">
        <w:rPr>
          <w:rFonts w:cs="Arial"/>
          <w:color w:val="000000"/>
          <w:sz w:val="22"/>
          <w:szCs w:val="22"/>
        </w:rPr>
        <w:t>und LP</w:t>
      </w:r>
      <w:r w:rsidR="00FB3C5B" w:rsidRPr="004C1AE7">
        <w:rPr>
          <w:rFonts w:cs="Arial"/>
          <w:color w:val="000000"/>
          <w:sz w:val="22"/>
          <w:szCs w:val="22"/>
        </w:rPr>
        <w:t>R (dt. Liga der polnischen Familien)</w:t>
      </w:r>
      <w:r w:rsidRPr="004C1AE7">
        <w:rPr>
          <w:rFonts w:cs="Arial"/>
          <w:color w:val="000000"/>
          <w:sz w:val="22"/>
          <w:szCs w:val="22"/>
        </w:rPr>
        <w:t>. Bereits 2005 hatte der damalige Bürgermeister von Warschau, Lech Kaczyński</w:t>
      </w:r>
      <w:r w:rsidRPr="004C1AE7">
        <w:rPr>
          <w:rFonts w:cs="Arial"/>
          <w:b/>
          <w:bCs/>
          <w:color w:val="008749"/>
          <w:sz w:val="22"/>
          <w:szCs w:val="22"/>
        </w:rPr>
        <w:t xml:space="preserve"> </w:t>
      </w:r>
      <w:r w:rsidRPr="004C1AE7">
        <w:rPr>
          <w:rFonts w:cs="Arial"/>
          <w:color w:val="000000"/>
          <w:sz w:val="22"/>
          <w:szCs w:val="22"/>
        </w:rPr>
        <w:t>{</w:t>
      </w:r>
      <w:r w:rsidRPr="004C1AE7">
        <w:rPr>
          <w:rFonts w:cs="Arial"/>
          <w:i/>
          <w:iCs/>
          <w:color w:val="000000"/>
          <w:sz w:val="22"/>
          <w:szCs w:val="22"/>
        </w:rPr>
        <w:t>katschinski</w:t>
      </w:r>
      <w:r w:rsidRPr="004C1AE7">
        <w:rPr>
          <w:rFonts w:cs="Arial"/>
          <w:color w:val="000000"/>
          <w:sz w:val="22"/>
          <w:szCs w:val="22"/>
        </w:rPr>
        <w:t xml:space="preserve">}, die </w:t>
      </w:r>
      <w:r w:rsidRPr="004C1AE7">
        <w:rPr>
          <w:rFonts w:cs="Arial"/>
          <w:b/>
          <w:bCs/>
          <w:color w:val="000000"/>
          <w:sz w:val="22"/>
          <w:szCs w:val="22"/>
        </w:rPr>
        <w:t>Parada Równości</w:t>
      </w:r>
      <w:r w:rsidRPr="004C1AE7">
        <w:rPr>
          <w:rFonts w:cs="Arial"/>
          <w:b/>
          <w:bCs/>
          <w:color w:val="008749"/>
          <w:sz w:val="22"/>
          <w:szCs w:val="22"/>
        </w:rPr>
        <w:t xml:space="preserve"> </w:t>
      </w:r>
      <w:r w:rsidRPr="004C1AE7">
        <w:rPr>
          <w:rFonts w:cs="Arial"/>
          <w:color w:val="000000"/>
          <w:sz w:val="22"/>
          <w:szCs w:val="22"/>
        </w:rPr>
        <w:t>{</w:t>
      </w:r>
      <w:r w:rsidRPr="004C1AE7">
        <w:rPr>
          <w:rFonts w:cs="Arial"/>
          <w:i/>
          <w:iCs/>
          <w:color w:val="000000"/>
          <w:sz w:val="22"/>
          <w:szCs w:val="22"/>
        </w:rPr>
        <w:t>ruwnosch</w:t>
      </w:r>
      <w:r w:rsidRPr="004C1AE7">
        <w:rPr>
          <w:rFonts w:cs="Arial"/>
          <w:i/>
          <w:iCs/>
          <w:color w:val="000000"/>
          <w:sz w:val="22"/>
          <w:szCs w:val="22"/>
        </w:rPr>
        <w:softHyphen/>
        <w:t>tschi</w:t>
      </w:r>
      <w:r w:rsidRPr="004C1AE7">
        <w:rPr>
          <w:rFonts w:cs="Arial"/>
          <w:color w:val="000000"/>
          <w:sz w:val="22"/>
          <w:szCs w:val="22"/>
        </w:rPr>
        <w:t>} (Gleichheitsparade), die polnische Version des Christopher Street Days, mit der Begründung untersagt, die Genehmigung einer Schwulenveran</w:t>
      </w:r>
      <w:r w:rsidRPr="004C1AE7">
        <w:rPr>
          <w:rFonts w:cs="Arial"/>
          <w:color w:val="000000"/>
          <w:sz w:val="22"/>
          <w:szCs w:val="22"/>
        </w:rPr>
        <w:softHyphen/>
        <w:t>staltung würde homosexuelle Lebensformen för</w:t>
      </w:r>
      <w:r w:rsidRPr="004C1AE7">
        <w:rPr>
          <w:rFonts w:cs="Arial"/>
          <w:color w:val="000000"/>
          <w:sz w:val="22"/>
          <w:szCs w:val="22"/>
        </w:rPr>
        <w:softHyphen/>
        <w:t>dern. 2007 kam es sogar zu einem Gesetzentwurf der mitregierend</w:t>
      </w:r>
      <w:r w:rsidR="00FB3C5B" w:rsidRPr="004C1AE7">
        <w:rPr>
          <w:rFonts w:cs="Arial"/>
          <w:color w:val="000000"/>
          <w:sz w:val="22"/>
          <w:szCs w:val="22"/>
        </w:rPr>
        <w:t>en LPR, der „homosexuelle Pro</w:t>
      </w:r>
      <w:r w:rsidR="00FB3C5B" w:rsidRPr="004C1AE7">
        <w:rPr>
          <w:rFonts w:cs="Arial"/>
          <w:color w:val="000000"/>
          <w:sz w:val="22"/>
          <w:szCs w:val="22"/>
        </w:rPr>
        <w:softHyphen/>
        <w:t>paganda“ an Schulen unter Strafe stellen sollte</w:t>
      </w:r>
      <w:r w:rsidRPr="004C1AE7">
        <w:rPr>
          <w:rFonts w:cs="Arial"/>
          <w:color w:val="000000"/>
          <w:sz w:val="22"/>
          <w:szCs w:val="22"/>
        </w:rPr>
        <w:t>; sich be</w:t>
      </w:r>
      <w:r w:rsidRPr="004C1AE7">
        <w:rPr>
          <w:rFonts w:cs="Arial"/>
          <w:color w:val="000000"/>
          <w:sz w:val="22"/>
          <w:szCs w:val="22"/>
        </w:rPr>
        <w:softHyphen/>
        <w:t>kennende homosexuelle Lehrer sollten entlassen werden. Die Parlamentsneuwahlen von 2007 ver</w:t>
      </w:r>
      <w:r w:rsidRPr="004C1AE7">
        <w:rPr>
          <w:rFonts w:cs="Arial"/>
          <w:color w:val="000000"/>
          <w:sz w:val="22"/>
          <w:szCs w:val="22"/>
        </w:rPr>
        <w:softHyphen/>
        <w:t>hinderten das Gesetz. Der Regierungswechsel hat jedoch die Menschenrechtslage der LGBT</w:t>
      </w:r>
      <w:r w:rsidR="00FB3C5B" w:rsidRPr="004C1AE7">
        <w:rPr>
          <w:rFonts w:cs="Arial"/>
          <w:color w:val="000000"/>
          <w:sz w:val="22"/>
          <w:szCs w:val="22"/>
        </w:rPr>
        <w:t xml:space="preserve"> </w:t>
      </w:r>
      <w:r w:rsidRPr="004C1AE7">
        <w:rPr>
          <w:rFonts w:cs="Arial"/>
          <w:color w:val="000000"/>
          <w:sz w:val="22"/>
          <w:szCs w:val="22"/>
        </w:rPr>
        <w:t>nur</w:t>
      </w:r>
      <w:r w:rsidR="009C70A6" w:rsidRPr="004C1AE7">
        <w:rPr>
          <w:rFonts w:cs="Arial"/>
          <w:color w:val="000000"/>
          <w:sz w:val="22"/>
          <w:szCs w:val="22"/>
        </w:rPr>
        <w:t xml:space="preserve"> wenig verbessert, denn auch unter dem ehemaligen</w:t>
      </w:r>
      <w:r w:rsidRPr="004C1AE7">
        <w:rPr>
          <w:rFonts w:cs="Arial"/>
          <w:color w:val="000000"/>
          <w:sz w:val="22"/>
          <w:szCs w:val="22"/>
        </w:rPr>
        <w:t xml:space="preserve"> Regierungschef Donald Tusk</w:t>
      </w:r>
      <w:r w:rsidRPr="004C1AE7">
        <w:rPr>
          <w:rFonts w:cs="Arial"/>
          <w:b/>
          <w:bCs/>
          <w:color w:val="008749"/>
          <w:sz w:val="22"/>
          <w:szCs w:val="22"/>
        </w:rPr>
        <w:t xml:space="preserve"> </w:t>
      </w:r>
      <w:r w:rsidRPr="004C1AE7">
        <w:rPr>
          <w:rFonts w:cs="Arial"/>
          <w:bCs/>
          <w:sz w:val="22"/>
          <w:szCs w:val="22"/>
        </w:rPr>
        <w:t>gab es k</w:t>
      </w:r>
      <w:r w:rsidRPr="004C1AE7">
        <w:rPr>
          <w:rFonts w:cs="Arial"/>
          <w:color w:val="000000"/>
          <w:sz w:val="22"/>
          <w:szCs w:val="22"/>
        </w:rPr>
        <w:t>eine Anerkennung der Lebenspartnerschaft gleichgeschlechtlicher Paare. Mit der erneuten Machtübernahme durch die Pi</w:t>
      </w:r>
      <w:r w:rsidR="009C70A6" w:rsidRPr="004C1AE7">
        <w:rPr>
          <w:rFonts w:cs="Arial"/>
          <w:color w:val="000000"/>
          <w:sz w:val="22"/>
          <w:szCs w:val="22"/>
        </w:rPr>
        <w:t>S nach dem Parlamentswahlen im</w:t>
      </w:r>
      <w:r w:rsidRPr="004C1AE7">
        <w:rPr>
          <w:rFonts w:cs="Arial"/>
          <w:color w:val="000000"/>
          <w:sz w:val="22"/>
          <w:szCs w:val="22"/>
        </w:rPr>
        <w:t xml:space="preserve"> September 2015 dürfte sich die Situation </w:t>
      </w:r>
      <w:r w:rsidR="00165115" w:rsidRPr="004C1AE7">
        <w:rPr>
          <w:rFonts w:cs="Arial"/>
          <w:color w:val="000000"/>
          <w:sz w:val="22"/>
          <w:szCs w:val="22"/>
        </w:rPr>
        <w:t>Homosexueller in Polen weiter verschlechtern.</w:t>
      </w:r>
    </w:p>
    <w:p w14:paraId="77971A8E" w14:textId="481D5BB2"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Die minderheitenfeindlichen Einstellungen be</w:t>
      </w:r>
      <w:r w:rsidRPr="004C1AE7">
        <w:rPr>
          <w:rFonts w:cs="Arial"/>
          <w:color w:val="000000"/>
          <w:sz w:val="22"/>
          <w:szCs w:val="22"/>
        </w:rPr>
        <w:softHyphen/>
        <w:t>treffen heute am häufigsten Juden, und Ho</w:t>
      </w:r>
      <w:r w:rsidRPr="004C1AE7">
        <w:rPr>
          <w:rFonts w:cs="Arial"/>
          <w:color w:val="000000"/>
          <w:sz w:val="22"/>
          <w:szCs w:val="22"/>
        </w:rPr>
        <w:softHyphen/>
        <w:t xml:space="preserve">mosexuelle. Zuweilen </w:t>
      </w:r>
      <w:r w:rsidR="00FB3C5B" w:rsidRPr="004C1AE7">
        <w:rPr>
          <w:rFonts w:cs="Arial"/>
          <w:color w:val="000000"/>
          <w:sz w:val="22"/>
          <w:szCs w:val="22"/>
        </w:rPr>
        <w:t xml:space="preserve">werden </w:t>
      </w:r>
      <w:r w:rsidRPr="004C1AE7">
        <w:rPr>
          <w:rFonts w:cs="Arial"/>
          <w:color w:val="000000"/>
          <w:sz w:val="22"/>
          <w:szCs w:val="22"/>
        </w:rPr>
        <w:t>auch andere ethni</w:t>
      </w:r>
      <w:r w:rsidRPr="004C1AE7">
        <w:rPr>
          <w:rFonts w:cs="Arial"/>
          <w:color w:val="000000"/>
          <w:sz w:val="22"/>
          <w:szCs w:val="22"/>
        </w:rPr>
        <w:softHyphen/>
        <w:t xml:space="preserve">sche und nationale Minderheiten als Sündenbock </w:t>
      </w:r>
      <w:r w:rsidR="00FB3C5B" w:rsidRPr="004C1AE7">
        <w:rPr>
          <w:rFonts w:cs="Arial"/>
          <w:color w:val="000000"/>
          <w:sz w:val="22"/>
          <w:szCs w:val="22"/>
        </w:rPr>
        <w:t>instrumentalisiert</w:t>
      </w:r>
      <w:r w:rsidRPr="004C1AE7">
        <w:rPr>
          <w:rFonts w:cs="Arial"/>
          <w:color w:val="000000"/>
          <w:sz w:val="22"/>
          <w:szCs w:val="22"/>
        </w:rPr>
        <w:t xml:space="preserve">. </w:t>
      </w:r>
    </w:p>
    <w:p w14:paraId="22C1CCEB" w14:textId="3A59DCF3" w:rsidR="00A217FB" w:rsidRPr="004C1AE7" w:rsidRDefault="00165115" w:rsidP="00303F33">
      <w:pPr>
        <w:pStyle w:val="1Standardflietext"/>
        <w:jc w:val="both"/>
        <w:rPr>
          <w:rFonts w:cs="Arial"/>
          <w:color w:val="000000"/>
          <w:sz w:val="22"/>
          <w:szCs w:val="22"/>
        </w:rPr>
      </w:pPr>
      <w:r w:rsidRPr="004C1AE7">
        <w:rPr>
          <w:rFonts w:cs="Arial"/>
          <w:color w:val="000000"/>
          <w:sz w:val="22"/>
          <w:szCs w:val="22"/>
        </w:rPr>
        <w:t>D</w:t>
      </w:r>
      <w:r w:rsidR="00A217FB" w:rsidRPr="004C1AE7">
        <w:rPr>
          <w:rFonts w:cs="Arial"/>
          <w:color w:val="000000"/>
          <w:sz w:val="22"/>
          <w:szCs w:val="22"/>
        </w:rPr>
        <w:t xml:space="preserve">er </w:t>
      </w:r>
      <w:r w:rsidR="00A217FB" w:rsidRPr="004C1AE7">
        <w:rPr>
          <w:rFonts w:cs="Arial"/>
          <w:b/>
          <w:bCs/>
          <w:color w:val="000000"/>
          <w:sz w:val="22"/>
          <w:szCs w:val="22"/>
        </w:rPr>
        <w:t xml:space="preserve">polnische Antisemitismus </w:t>
      </w:r>
      <w:r w:rsidR="00A217FB" w:rsidRPr="004C1AE7">
        <w:rPr>
          <w:rFonts w:cs="Arial"/>
          <w:color w:val="000000"/>
          <w:sz w:val="22"/>
          <w:szCs w:val="22"/>
        </w:rPr>
        <w:t>ist ein Anti</w:t>
      </w:r>
      <w:r w:rsidR="00A217FB" w:rsidRPr="004C1AE7">
        <w:rPr>
          <w:rFonts w:cs="Arial"/>
          <w:color w:val="000000"/>
          <w:sz w:val="22"/>
          <w:szCs w:val="22"/>
        </w:rPr>
        <w:softHyphen/>
        <w:t xml:space="preserve">semitismus ohne Juden. Vor dem Krieg gab es 3,5 Millionen Juden in Polen, </w:t>
      </w:r>
      <w:r w:rsidR="00FB3C5B" w:rsidRPr="004C1AE7">
        <w:rPr>
          <w:rFonts w:cs="Arial"/>
          <w:color w:val="000000"/>
          <w:sz w:val="22"/>
          <w:szCs w:val="22"/>
        </w:rPr>
        <w:t xml:space="preserve">doch </w:t>
      </w:r>
      <w:r w:rsidR="00A217FB" w:rsidRPr="004C1AE7">
        <w:rPr>
          <w:rFonts w:cs="Arial"/>
          <w:color w:val="000000"/>
          <w:sz w:val="22"/>
          <w:szCs w:val="22"/>
        </w:rPr>
        <w:t>nur 10 % von ihnen überlebten den Holocaust. In mehreren Emigrati</w:t>
      </w:r>
      <w:r w:rsidR="00A217FB" w:rsidRPr="004C1AE7">
        <w:rPr>
          <w:rFonts w:cs="Arial"/>
          <w:color w:val="000000"/>
          <w:sz w:val="22"/>
          <w:szCs w:val="22"/>
        </w:rPr>
        <w:softHyphen/>
        <w:t xml:space="preserve">onswellen verließen nach dem Zweiten Weltkrieg bis zur politischen Wende 1989 rund 90 % der in Polen lebenden Juden das Land. Gründe dafür waren der Antisemitismus, der Wunsch, nach Israel auszuwandern, und </w:t>
      </w:r>
      <w:r w:rsidR="00FB3C5B" w:rsidRPr="004C1AE7">
        <w:rPr>
          <w:rFonts w:cs="Arial"/>
          <w:color w:val="000000"/>
          <w:sz w:val="22"/>
          <w:szCs w:val="22"/>
        </w:rPr>
        <w:t xml:space="preserve">die Repressionen durch </w:t>
      </w:r>
      <w:r w:rsidR="00A217FB" w:rsidRPr="004C1AE7">
        <w:rPr>
          <w:rFonts w:cs="Arial"/>
          <w:color w:val="000000"/>
          <w:sz w:val="22"/>
          <w:szCs w:val="22"/>
        </w:rPr>
        <w:t xml:space="preserve">das kommunistische System. Höhepunkt war die Ausreisewelle von 1968, als eine staatlich gelenkte antisemitische Kampagne </w:t>
      </w:r>
      <w:r w:rsidR="00FB3C5B" w:rsidRPr="004C1AE7">
        <w:rPr>
          <w:rFonts w:cs="Arial"/>
          <w:color w:val="000000"/>
          <w:sz w:val="22"/>
          <w:szCs w:val="22"/>
        </w:rPr>
        <w:t>die als „</w:t>
      </w:r>
      <w:r w:rsidR="00A217FB" w:rsidRPr="004C1AE7">
        <w:rPr>
          <w:rFonts w:cs="Arial"/>
          <w:color w:val="000000"/>
          <w:sz w:val="22"/>
          <w:szCs w:val="22"/>
        </w:rPr>
        <w:t>Zionisten</w:t>
      </w:r>
      <w:r w:rsidR="00FB3C5B" w:rsidRPr="004C1AE7">
        <w:rPr>
          <w:rFonts w:cs="Arial"/>
          <w:color w:val="000000"/>
          <w:sz w:val="22"/>
          <w:szCs w:val="22"/>
        </w:rPr>
        <w:t>“</w:t>
      </w:r>
      <w:r w:rsidR="00A217FB" w:rsidRPr="004C1AE7">
        <w:rPr>
          <w:rFonts w:cs="Arial"/>
          <w:color w:val="000000"/>
          <w:sz w:val="22"/>
          <w:szCs w:val="22"/>
        </w:rPr>
        <w:t xml:space="preserve"> bezeichneten Juden aus dem Land </w:t>
      </w:r>
      <w:r w:rsidR="00FB3C5B" w:rsidRPr="004C1AE7">
        <w:rPr>
          <w:rFonts w:cs="Arial"/>
          <w:color w:val="000000"/>
          <w:sz w:val="22"/>
          <w:szCs w:val="22"/>
        </w:rPr>
        <w:t>ver</w:t>
      </w:r>
      <w:r w:rsidR="00A217FB" w:rsidRPr="004C1AE7">
        <w:rPr>
          <w:rFonts w:cs="Arial"/>
          <w:color w:val="000000"/>
          <w:sz w:val="22"/>
          <w:szCs w:val="22"/>
        </w:rPr>
        <w:t>trieb. Von den regierenden Kom</w:t>
      </w:r>
      <w:r w:rsidR="00A217FB" w:rsidRPr="004C1AE7">
        <w:rPr>
          <w:rFonts w:cs="Arial"/>
          <w:color w:val="000000"/>
          <w:sz w:val="22"/>
          <w:szCs w:val="22"/>
        </w:rPr>
        <w:softHyphen/>
        <w:t>munisten wurde bis 1989 das Bild lanciert, dass die Polen am meisten unter der nationalsozialisti</w:t>
      </w:r>
      <w:r w:rsidR="00A217FB" w:rsidRPr="004C1AE7">
        <w:rPr>
          <w:rFonts w:cs="Arial"/>
          <w:color w:val="000000"/>
          <w:sz w:val="22"/>
          <w:szCs w:val="22"/>
        </w:rPr>
        <w:softHyphen/>
        <w:t>schen Gewaltherrschaft zu leiden gehabt hatten und Auschwitz vor allem ein Ort polnischen Lei</w:t>
      </w:r>
      <w:r w:rsidR="00A217FB" w:rsidRPr="004C1AE7">
        <w:rPr>
          <w:rFonts w:cs="Arial"/>
          <w:color w:val="000000"/>
          <w:sz w:val="22"/>
          <w:szCs w:val="22"/>
        </w:rPr>
        <w:softHyphen/>
        <w:t xml:space="preserve">dens und des antifaschistischen Widerstands war. Dass der Völkermord an den Juden ein in seiner Dimension völlig einzigartiges Verbrechen war, war den meisten Polen nicht bewusst. </w:t>
      </w:r>
    </w:p>
    <w:p w14:paraId="3AC1EE28" w14:textId="1FDA71E8" w:rsidR="00A217FB" w:rsidRPr="004C1AE7" w:rsidRDefault="00165115" w:rsidP="00303F33">
      <w:pPr>
        <w:pStyle w:val="1Standardflietext"/>
        <w:jc w:val="both"/>
        <w:rPr>
          <w:rFonts w:cs="Arial"/>
          <w:color w:val="000000"/>
          <w:sz w:val="22"/>
          <w:szCs w:val="22"/>
        </w:rPr>
      </w:pPr>
      <w:r w:rsidRPr="004C1AE7">
        <w:rPr>
          <w:rFonts w:cs="Arial"/>
          <w:color w:val="000000"/>
          <w:sz w:val="22"/>
          <w:szCs w:val="22"/>
        </w:rPr>
        <w:t>D</w:t>
      </w:r>
      <w:r w:rsidR="00A217FB" w:rsidRPr="004C1AE7">
        <w:rPr>
          <w:rFonts w:cs="Arial"/>
          <w:color w:val="000000"/>
          <w:sz w:val="22"/>
          <w:szCs w:val="22"/>
        </w:rPr>
        <w:t>er heutige Antisemitismus wird getragen vom nationalistisch-katholischen Milieu. Auch die ka</w:t>
      </w:r>
      <w:r w:rsidR="00A217FB" w:rsidRPr="004C1AE7">
        <w:rPr>
          <w:rFonts w:cs="Arial"/>
          <w:color w:val="000000"/>
          <w:sz w:val="22"/>
          <w:szCs w:val="22"/>
        </w:rPr>
        <w:softHyphen/>
        <w:t>tholische Kirche Polens ist nicht völlig frei von antisemitischem Gedankengut. Noch immer ist das Bild der Juden als Christusmörder und Verursacher allen Übels auf Erden nicht ganz ausge</w:t>
      </w:r>
      <w:r w:rsidR="00A217FB" w:rsidRPr="004C1AE7">
        <w:rPr>
          <w:rFonts w:cs="Arial"/>
          <w:color w:val="000000"/>
          <w:sz w:val="22"/>
          <w:szCs w:val="22"/>
        </w:rPr>
        <w:softHyphen/>
        <w:t xml:space="preserve">storben. Beim nationalistisch-katholischen </w:t>
      </w:r>
      <w:r w:rsidR="00A217FB" w:rsidRPr="004C1AE7">
        <w:rPr>
          <w:rFonts w:cs="Arial"/>
          <w:b/>
          <w:color w:val="000000"/>
          <w:sz w:val="22"/>
          <w:szCs w:val="22"/>
        </w:rPr>
        <w:t xml:space="preserve">Sender </w:t>
      </w:r>
      <w:r w:rsidR="00FB3C5B" w:rsidRPr="004C1AE7">
        <w:rPr>
          <w:rFonts w:cs="Arial"/>
          <w:b/>
          <w:color w:val="000000"/>
          <w:sz w:val="22"/>
          <w:szCs w:val="22"/>
        </w:rPr>
        <w:t>„</w:t>
      </w:r>
      <w:r w:rsidR="00A217FB" w:rsidRPr="004C1AE7">
        <w:rPr>
          <w:rFonts w:cs="Arial"/>
          <w:b/>
          <w:color w:val="000000"/>
          <w:sz w:val="22"/>
          <w:szCs w:val="22"/>
        </w:rPr>
        <w:t>Radio Maryja</w:t>
      </w:r>
      <w:r w:rsidR="00FB3C5B" w:rsidRPr="004C1AE7">
        <w:rPr>
          <w:rFonts w:cs="Arial"/>
          <w:b/>
          <w:color w:val="000000"/>
          <w:sz w:val="22"/>
          <w:szCs w:val="22"/>
        </w:rPr>
        <w:t>“</w:t>
      </w:r>
      <w:r w:rsidR="00A217FB" w:rsidRPr="004C1AE7">
        <w:rPr>
          <w:rFonts w:cs="Arial"/>
          <w:color w:val="000000"/>
          <w:sz w:val="22"/>
          <w:szCs w:val="22"/>
        </w:rPr>
        <w:t xml:space="preserve">, um den herum sich ein Medienkonsortium aus dem </w:t>
      </w:r>
      <w:r w:rsidR="00FB3C5B" w:rsidRPr="004C1AE7">
        <w:rPr>
          <w:rFonts w:cs="Arial"/>
          <w:bCs/>
          <w:color w:val="000000"/>
          <w:sz w:val="22"/>
          <w:szCs w:val="22"/>
        </w:rPr>
        <w:t>Radiosender „Radio Maryja“</w:t>
      </w:r>
      <w:r w:rsidR="00A217FB" w:rsidRPr="004C1AE7">
        <w:rPr>
          <w:rFonts w:cs="Arial"/>
          <w:color w:val="000000"/>
          <w:sz w:val="22"/>
          <w:szCs w:val="22"/>
        </w:rPr>
        <w:t>,</w:t>
      </w:r>
      <w:r w:rsidR="00FB3C5B" w:rsidRPr="004C1AE7">
        <w:rPr>
          <w:rFonts w:cs="Arial"/>
          <w:color w:val="000000"/>
          <w:sz w:val="22"/>
          <w:szCs w:val="22"/>
        </w:rPr>
        <w:t xml:space="preserve"> dem Fernsehsender „Trwam“</w:t>
      </w:r>
      <w:r w:rsidR="00A217FB" w:rsidRPr="004C1AE7">
        <w:rPr>
          <w:rFonts w:cs="Arial"/>
          <w:color w:val="000000"/>
          <w:sz w:val="22"/>
          <w:szCs w:val="22"/>
        </w:rPr>
        <w:t xml:space="preserve"> (</w:t>
      </w:r>
      <w:r w:rsidR="003E4018" w:rsidRPr="004C1AE7">
        <w:rPr>
          <w:rFonts w:cs="Arial"/>
          <w:color w:val="000000"/>
          <w:sz w:val="22"/>
          <w:szCs w:val="22"/>
        </w:rPr>
        <w:t>dt</w:t>
      </w:r>
      <w:r w:rsidR="00A217FB" w:rsidRPr="004C1AE7">
        <w:rPr>
          <w:rFonts w:cs="Arial"/>
          <w:color w:val="000000"/>
          <w:sz w:val="22"/>
          <w:szCs w:val="22"/>
        </w:rPr>
        <w:t xml:space="preserve">. </w:t>
      </w:r>
      <w:r w:rsidR="00FB3C5B" w:rsidRPr="004C1AE7">
        <w:rPr>
          <w:rFonts w:cs="Arial"/>
          <w:color w:val="000000"/>
          <w:sz w:val="22"/>
          <w:szCs w:val="22"/>
        </w:rPr>
        <w:t>„</w:t>
      </w:r>
      <w:r w:rsidR="00A217FB" w:rsidRPr="004C1AE7">
        <w:rPr>
          <w:rFonts w:cs="Arial"/>
          <w:color w:val="000000"/>
          <w:sz w:val="22"/>
          <w:szCs w:val="22"/>
        </w:rPr>
        <w:t>ich halte durch</w:t>
      </w:r>
      <w:r w:rsidR="00FB3C5B" w:rsidRPr="004C1AE7">
        <w:rPr>
          <w:rFonts w:cs="Arial"/>
          <w:color w:val="000000"/>
          <w:sz w:val="22"/>
          <w:szCs w:val="22"/>
        </w:rPr>
        <w:t>“</w:t>
      </w:r>
      <w:r w:rsidR="00A217FB" w:rsidRPr="004C1AE7">
        <w:rPr>
          <w:rFonts w:cs="Arial"/>
          <w:color w:val="000000"/>
          <w:sz w:val="22"/>
          <w:szCs w:val="22"/>
        </w:rPr>
        <w:t>) und der</w:t>
      </w:r>
      <w:r w:rsidR="003E4018" w:rsidRPr="004C1AE7">
        <w:rPr>
          <w:rFonts w:cs="Arial"/>
          <w:color w:val="000000"/>
          <w:sz w:val="22"/>
          <w:szCs w:val="22"/>
        </w:rPr>
        <w:t xml:space="preserve"> auflagenstarken Tageszei</w:t>
      </w:r>
      <w:r w:rsidR="003E4018" w:rsidRPr="004C1AE7">
        <w:rPr>
          <w:rFonts w:cs="Arial"/>
          <w:color w:val="000000"/>
          <w:sz w:val="22"/>
          <w:szCs w:val="22"/>
        </w:rPr>
        <w:softHyphen/>
        <w:t>tung „Nasz Dziennik“ (dt. Unsere Tageszeitung)</w:t>
      </w:r>
      <w:r w:rsidR="00A217FB" w:rsidRPr="004C1AE7">
        <w:rPr>
          <w:rFonts w:cs="Arial"/>
          <w:color w:val="000000"/>
          <w:sz w:val="22"/>
          <w:szCs w:val="22"/>
        </w:rPr>
        <w:t xml:space="preserve"> gebildet hat, ist die Verbrei</w:t>
      </w:r>
      <w:r w:rsidR="00A217FB" w:rsidRPr="004C1AE7">
        <w:rPr>
          <w:rFonts w:cs="Arial"/>
          <w:color w:val="000000"/>
          <w:sz w:val="22"/>
          <w:szCs w:val="22"/>
        </w:rPr>
        <w:softHyphen/>
        <w:t xml:space="preserve">tung antisemitischen Gedankenguts Programm. Außerdem bedient </w:t>
      </w:r>
      <w:r w:rsidR="00A217FB" w:rsidRPr="004C1AE7">
        <w:rPr>
          <w:rFonts w:cs="Arial"/>
          <w:color w:val="000000"/>
          <w:sz w:val="22"/>
          <w:szCs w:val="22"/>
        </w:rPr>
        <w:lastRenderedPageBreak/>
        <w:t>es auch fremdenfeindliche, deutschfeindliche und homophobe, rechtsextre</w:t>
      </w:r>
      <w:r w:rsidR="00A217FB" w:rsidRPr="004C1AE7">
        <w:rPr>
          <w:rFonts w:cs="Arial"/>
          <w:color w:val="000000"/>
          <w:sz w:val="22"/>
          <w:szCs w:val="22"/>
        </w:rPr>
        <w:softHyphen/>
        <w:t>mistische Positionen.</w:t>
      </w:r>
    </w:p>
    <w:p w14:paraId="0BE17AED" w14:textId="77777777" w:rsidR="00A217FB" w:rsidRPr="004C1AE7" w:rsidRDefault="003B6FA6" w:rsidP="00303F33">
      <w:pPr>
        <w:pStyle w:val="1Standardflietext"/>
        <w:jc w:val="both"/>
        <w:rPr>
          <w:rFonts w:cs="Arial"/>
          <w:color w:val="000000"/>
          <w:sz w:val="22"/>
          <w:szCs w:val="22"/>
        </w:rPr>
      </w:pPr>
      <w:r w:rsidRPr="004C1AE7">
        <w:rPr>
          <w:rFonts w:cs="Arial"/>
          <w:color w:val="000000"/>
          <w:sz w:val="22"/>
          <w:szCs w:val="22"/>
        </w:rPr>
        <w:t>D</w:t>
      </w:r>
      <w:r w:rsidR="00A217FB" w:rsidRPr="004C1AE7">
        <w:rPr>
          <w:rFonts w:cs="Arial"/>
          <w:color w:val="000000"/>
          <w:sz w:val="22"/>
          <w:szCs w:val="22"/>
        </w:rPr>
        <w:t xml:space="preserve">em </w:t>
      </w:r>
      <w:r w:rsidRPr="004C1AE7">
        <w:rPr>
          <w:rFonts w:cs="Arial"/>
          <w:b/>
          <w:bCs/>
          <w:color w:val="000000"/>
          <w:sz w:val="22"/>
          <w:szCs w:val="22"/>
        </w:rPr>
        <w:t>rechtsex</w:t>
      </w:r>
      <w:r w:rsidR="00A217FB" w:rsidRPr="004C1AE7">
        <w:rPr>
          <w:rFonts w:cs="Arial"/>
          <w:b/>
          <w:bCs/>
          <w:color w:val="000000"/>
          <w:sz w:val="22"/>
          <w:szCs w:val="22"/>
        </w:rPr>
        <w:t xml:space="preserve">tremen Spektrum </w:t>
      </w:r>
      <w:r w:rsidR="00A217FB" w:rsidRPr="004C1AE7">
        <w:rPr>
          <w:rFonts w:cs="Arial"/>
          <w:color w:val="000000"/>
          <w:sz w:val="22"/>
          <w:szCs w:val="22"/>
        </w:rPr>
        <w:t>in der polni</w:t>
      </w:r>
      <w:r w:rsidR="00A217FB" w:rsidRPr="004C1AE7">
        <w:rPr>
          <w:rFonts w:cs="Arial"/>
          <w:color w:val="000000"/>
          <w:sz w:val="22"/>
          <w:szCs w:val="22"/>
        </w:rPr>
        <w:softHyphen/>
        <w:t>schen Gesellschaft sind Gruppierungen zuzurech</w:t>
      </w:r>
      <w:r w:rsidR="00A217FB" w:rsidRPr="004C1AE7">
        <w:rPr>
          <w:rFonts w:cs="Arial"/>
          <w:color w:val="000000"/>
          <w:sz w:val="22"/>
          <w:szCs w:val="22"/>
        </w:rPr>
        <w:softHyphen/>
        <w:t>nen, die sich nicht auf den Antisemitismus be</w:t>
      </w:r>
      <w:r w:rsidR="00A217FB" w:rsidRPr="004C1AE7">
        <w:rPr>
          <w:rFonts w:cs="Arial"/>
          <w:color w:val="000000"/>
          <w:sz w:val="22"/>
          <w:szCs w:val="22"/>
        </w:rPr>
        <w:softHyphen/>
        <w:t>schränken, sondern auch Hetze gegen andere Minderheiten wie Deutsche, Migranten aller Art und Roma betreiben. Im organisierten Rechtsextremismus auf Parteiebene sind die Gegner</w:t>
      </w:r>
      <w:r w:rsidR="00A217FB" w:rsidRPr="004C1AE7">
        <w:rPr>
          <w:rFonts w:cs="Arial"/>
          <w:color w:val="000000"/>
          <w:sz w:val="22"/>
          <w:szCs w:val="22"/>
        </w:rPr>
        <w:softHyphen/>
        <w:t>schaft zu EU und NATO sowie ultrareligiöse, fundamentalistische Diskurse wichtige Themen.</w:t>
      </w:r>
    </w:p>
    <w:p w14:paraId="7615E830" w14:textId="77777777" w:rsidR="00A217FB" w:rsidRPr="004C1AE7" w:rsidRDefault="00A217FB" w:rsidP="00303F33">
      <w:pPr>
        <w:pStyle w:val="1Standardflietext"/>
        <w:jc w:val="both"/>
        <w:rPr>
          <w:rFonts w:cs="Arial"/>
          <w:color w:val="000000"/>
          <w:sz w:val="22"/>
          <w:szCs w:val="22"/>
        </w:rPr>
      </w:pPr>
      <w:r w:rsidRPr="004C1AE7">
        <w:rPr>
          <w:rFonts w:cs="Arial"/>
          <w:color w:val="000000"/>
          <w:sz w:val="22"/>
          <w:szCs w:val="22"/>
        </w:rPr>
        <w:t xml:space="preserve">Eine </w:t>
      </w:r>
      <w:r w:rsidRPr="004C1AE7">
        <w:rPr>
          <w:rFonts w:cs="Arial"/>
          <w:b/>
          <w:bCs/>
          <w:color w:val="000000"/>
          <w:sz w:val="22"/>
          <w:szCs w:val="22"/>
        </w:rPr>
        <w:t xml:space="preserve">Zivilgesellschaft </w:t>
      </w:r>
      <w:r w:rsidRPr="004C1AE7">
        <w:rPr>
          <w:rFonts w:cs="Arial"/>
          <w:color w:val="000000"/>
          <w:sz w:val="22"/>
          <w:szCs w:val="22"/>
        </w:rPr>
        <w:t>mit zahlreichen Initiati</w:t>
      </w:r>
      <w:r w:rsidRPr="004C1AE7">
        <w:rPr>
          <w:rFonts w:cs="Arial"/>
          <w:color w:val="000000"/>
          <w:sz w:val="22"/>
          <w:szCs w:val="22"/>
        </w:rPr>
        <w:softHyphen/>
        <w:t>ven hat sich in Polen nur langsam herausgebildet. Die Entwicklung setzte spät ein, denn die gesetzli</w:t>
      </w:r>
      <w:r w:rsidRPr="004C1AE7">
        <w:rPr>
          <w:rFonts w:cs="Arial"/>
          <w:color w:val="000000"/>
          <w:sz w:val="22"/>
          <w:szCs w:val="22"/>
        </w:rPr>
        <w:softHyphen/>
        <w:t>che Grundlage polnischer Interessenorganisatio</w:t>
      </w:r>
      <w:r w:rsidRPr="004C1AE7">
        <w:rPr>
          <w:rFonts w:cs="Arial"/>
          <w:color w:val="000000"/>
          <w:sz w:val="22"/>
          <w:szCs w:val="22"/>
        </w:rPr>
        <w:softHyphen/>
        <w:t>nen war nicht komplett. Zwar garantierte Arti</w:t>
      </w:r>
      <w:r w:rsidRPr="004C1AE7">
        <w:rPr>
          <w:rFonts w:cs="Arial"/>
          <w:color w:val="000000"/>
          <w:sz w:val="22"/>
          <w:szCs w:val="22"/>
        </w:rPr>
        <w:softHyphen/>
        <w:t>kel 12 der Verfassung die Vereinsfreiheit, doch erst im Frühjahr 2003 verabschiedete der Sejm das Gesetz über gemeinnützige Arbeit und Frei</w:t>
      </w:r>
      <w:r w:rsidRPr="004C1AE7">
        <w:rPr>
          <w:rFonts w:cs="Arial"/>
          <w:color w:val="000000"/>
          <w:sz w:val="22"/>
          <w:szCs w:val="22"/>
        </w:rPr>
        <w:softHyphen/>
        <w:t>willigentätigkeit. Dieses Gesetz regelt auch die Steuerbefreiung bei anerkannter Gemeinnützig</w:t>
      </w:r>
      <w:r w:rsidRPr="004C1AE7">
        <w:rPr>
          <w:rFonts w:cs="Arial"/>
          <w:color w:val="000000"/>
          <w:sz w:val="22"/>
          <w:szCs w:val="22"/>
        </w:rPr>
        <w:softHyphen/>
        <w:t>keit.</w:t>
      </w:r>
    </w:p>
    <w:p w14:paraId="1E6D45C5" w14:textId="2C85E86D" w:rsidR="00A217FB" w:rsidRPr="004C1AE7" w:rsidRDefault="003E4018" w:rsidP="00303F33">
      <w:pPr>
        <w:pStyle w:val="1Standardflietext"/>
        <w:jc w:val="both"/>
        <w:rPr>
          <w:rFonts w:cs="Arial"/>
          <w:color w:val="000000"/>
          <w:sz w:val="22"/>
          <w:szCs w:val="22"/>
        </w:rPr>
      </w:pPr>
      <w:r w:rsidRPr="004C1AE7">
        <w:rPr>
          <w:rFonts w:cs="Arial"/>
          <w:color w:val="000000"/>
          <w:sz w:val="22"/>
          <w:szCs w:val="22"/>
        </w:rPr>
        <w:t>Der auch „Dritter Sektor“</w:t>
      </w:r>
      <w:r w:rsidR="00A217FB" w:rsidRPr="004C1AE7">
        <w:rPr>
          <w:rFonts w:cs="Arial"/>
          <w:color w:val="000000"/>
          <w:sz w:val="22"/>
          <w:szCs w:val="22"/>
        </w:rPr>
        <w:t xml:space="preserve"> genannte Bereich</w:t>
      </w:r>
      <w:r w:rsidR="002917E8" w:rsidRPr="004C1AE7">
        <w:rPr>
          <w:rFonts w:cs="Arial"/>
          <w:color w:val="000000"/>
          <w:sz w:val="22"/>
          <w:szCs w:val="22"/>
        </w:rPr>
        <w:t xml:space="preserve">, also der </w:t>
      </w:r>
      <w:r w:rsidR="002917E8" w:rsidRPr="004C1AE7">
        <w:rPr>
          <w:rFonts w:cs="Arial"/>
          <w:sz w:val="22"/>
          <w:szCs w:val="22"/>
        </w:rPr>
        <w:t>Bereich sozialer Bewegungen,</w:t>
      </w:r>
      <w:r w:rsidR="00A217FB" w:rsidRPr="004C1AE7">
        <w:rPr>
          <w:rFonts w:cs="Arial"/>
          <w:color w:val="000000"/>
          <w:sz w:val="22"/>
          <w:szCs w:val="22"/>
        </w:rPr>
        <w:t xml:space="preserve"> ist auf inzwischen 63 000 Nichtregierungsorganisati</w:t>
      </w:r>
      <w:r w:rsidR="00A217FB" w:rsidRPr="004C1AE7">
        <w:rPr>
          <w:rFonts w:cs="Arial"/>
          <w:color w:val="000000"/>
          <w:sz w:val="22"/>
          <w:szCs w:val="22"/>
        </w:rPr>
        <w:softHyphen/>
        <w:t>onen (NGOs) angewachsen. Zu ihnen gehören so prominente Gruppen wie Nigdy Więcej</w:t>
      </w:r>
      <w:r w:rsidR="00A217FB" w:rsidRPr="004C1AE7">
        <w:rPr>
          <w:rFonts w:cs="Arial"/>
          <w:b/>
          <w:bCs/>
          <w:color w:val="008749"/>
          <w:sz w:val="22"/>
          <w:szCs w:val="22"/>
        </w:rPr>
        <w:t xml:space="preserve"> </w:t>
      </w:r>
      <w:r w:rsidR="00A217FB" w:rsidRPr="004C1AE7">
        <w:rPr>
          <w:rFonts w:cs="Arial"/>
          <w:color w:val="000000"/>
          <w:sz w:val="22"/>
          <w:szCs w:val="22"/>
        </w:rPr>
        <w:t>{</w:t>
      </w:r>
      <w:r w:rsidR="00A217FB" w:rsidRPr="004C1AE7">
        <w:rPr>
          <w:rFonts w:cs="Arial"/>
          <w:i/>
          <w:iCs/>
          <w:color w:val="000000"/>
          <w:sz w:val="22"/>
          <w:szCs w:val="22"/>
        </w:rPr>
        <w:t>nigdi wjentsej</w:t>
      </w:r>
      <w:r w:rsidR="00A217FB" w:rsidRPr="004C1AE7">
        <w:rPr>
          <w:rFonts w:cs="Arial"/>
          <w:color w:val="000000"/>
          <w:sz w:val="22"/>
          <w:szCs w:val="22"/>
        </w:rPr>
        <w:t>} (Nie Wieder), die sich gegen Rechtsextremismus wendet, die Polska Akcja Humanitarna</w:t>
      </w:r>
      <w:r w:rsidR="00A217FB" w:rsidRPr="004C1AE7">
        <w:rPr>
          <w:rFonts w:cs="Arial"/>
          <w:b/>
          <w:bCs/>
          <w:color w:val="008749"/>
          <w:sz w:val="22"/>
          <w:szCs w:val="22"/>
        </w:rPr>
        <w:t xml:space="preserve"> </w:t>
      </w:r>
      <w:r w:rsidR="00A217FB" w:rsidRPr="004C1AE7">
        <w:rPr>
          <w:rFonts w:cs="Arial"/>
          <w:color w:val="000000"/>
          <w:sz w:val="22"/>
          <w:szCs w:val="22"/>
        </w:rPr>
        <w:t>(Polnische humanitäre Aktion), die Hilfe für tschetschenische Flüchtlinge organi</w:t>
      </w:r>
      <w:r w:rsidR="00A217FB" w:rsidRPr="004C1AE7">
        <w:rPr>
          <w:rFonts w:cs="Arial"/>
          <w:color w:val="000000"/>
          <w:sz w:val="22"/>
          <w:szCs w:val="22"/>
        </w:rPr>
        <w:softHyphen/>
        <w:t>siert, oder die Kulturgemeinschaft Borussia</w:t>
      </w:r>
      <w:r w:rsidR="00A217FB" w:rsidRPr="004C1AE7">
        <w:rPr>
          <w:rFonts w:cs="Arial"/>
          <w:b/>
          <w:bCs/>
          <w:color w:val="008749"/>
          <w:sz w:val="22"/>
          <w:szCs w:val="22"/>
        </w:rPr>
        <w:t xml:space="preserve"> </w:t>
      </w:r>
      <w:r w:rsidR="00A217FB" w:rsidRPr="004C1AE7">
        <w:rPr>
          <w:rFonts w:cs="Arial"/>
          <w:color w:val="000000"/>
          <w:sz w:val="22"/>
          <w:szCs w:val="22"/>
        </w:rPr>
        <w:t>in Allenstein.</w:t>
      </w:r>
    </w:p>
    <w:p w14:paraId="2F036C91" w14:textId="2D79965F" w:rsidR="00096830" w:rsidRPr="004C1AE7" w:rsidRDefault="003E4018" w:rsidP="003E4018">
      <w:pPr>
        <w:pStyle w:val="1Standardflietext"/>
        <w:jc w:val="right"/>
        <w:rPr>
          <w:rFonts w:cs="Arial"/>
          <w:i/>
          <w:color w:val="000000"/>
          <w:sz w:val="22"/>
          <w:szCs w:val="22"/>
        </w:rPr>
      </w:pPr>
      <w:r w:rsidRPr="004C1AE7">
        <w:rPr>
          <w:rFonts w:cs="Arial"/>
          <w:i/>
          <w:color w:val="000000"/>
          <w:sz w:val="22"/>
          <w:szCs w:val="22"/>
        </w:rPr>
        <w:t>Text: Brigitte Jäger Dabek (2016)</w:t>
      </w:r>
    </w:p>
    <w:p w14:paraId="3DDC1009" w14:textId="77777777" w:rsidR="00A217FB" w:rsidRPr="004C1AE7" w:rsidRDefault="00A217FB" w:rsidP="00303F33">
      <w:pPr>
        <w:pStyle w:val="1Standardflietext"/>
        <w:jc w:val="both"/>
        <w:rPr>
          <w:rFonts w:cs="Arial"/>
          <w:color w:val="000000"/>
          <w:sz w:val="22"/>
          <w:szCs w:val="22"/>
        </w:rPr>
      </w:pPr>
      <w:bookmarkStart w:id="1" w:name="_GoBack"/>
      <w:bookmarkEnd w:id="1"/>
    </w:p>
    <w:sectPr w:rsidR="00A217FB" w:rsidRPr="004C1AE7"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CD42" w14:textId="77777777" w:rsidR="00E64B99" w:rsidRDefault="00E64B99">
      <w:r>
        <w:separator/>
      </w:r>
    </w:p>
    <w:p w14:paraId="3C5E3D8F" w14:textId="77777777" w:rsidR="00E64B99" w:rsidRDefault="00E64B99"/>
    <w:p w14:paraId="066C75F6" w14:textId="77777777" w:rsidR="00E64B99" w:rsidRDefault="00E64B99"/>
    <w:p w14:paraId="09F61E23" w14:textId="77777777" w:rsidR="00E64B99" w:rsidRDefault="00E64B99"/>
    <w:p w14:paraId="41EEC7EE" w14:textId="77777777" w:rsidR="00E64B99" w:rsidRDefault="00E64B99"/>
    <w:p w14:paraId="0078DD8A" w14:textId="77777777" w:rsidR="00E64B99" w:rsidRDefault="00E64B99"/>
    <w:p w14:paraId="37D7B613" w14:textId="77777777" w:rsidR="00E64B99" w:rsidRDefault="00E64B99"/>
    <w:p w14:paraId="6970C08E" w14:textId="77777777" w:rsidR="00E64B99" w:rsidRDefault="00E64B99"/>
  </w:endnote>
  <w:endnote w:type="continuationSeparator" w:id="0">
    <w:p w14:paraId="53952BE2" w14:textId="77777777" w:rsidR="00E64B99" w:rsidRDefault="00E64B99">
      <w:r>
        <w:continuationSeparator/>
      </w:r>
    </w:p>
    <w:p w14:paraId="1CC15CCA" w14:textId="77777777" w:rsidR="00E64B99" w:rsidRDefault="00E64B99"/>
    <w:p w14:paraId="41116323" w14:textId="77777777" w:rsidR="00E64B99" w:rsidRDefault="00E64B99"/>
    <w:p w14:paraId="53150091" w14:textId="77777777" w:rsidR="00E64B99" w:rsidRDefault="00E64B99"/>
    <w:p w14:paraId="67C3A61F" w14:textId="77777777" w:rsidR="00E64B99" w:rsidRDefault="00E64B99"/>
    <w:p w14:paraId="57C8DF3B" w14:textId="77777777" w:rsidR="00E64B99" w:rsidRDefault="00E64B99"/>
    <w:p w14:paraId="5028D0D2" w14:textId="77777777" w:rsidR="00E64B99" w:rsidRDefault="00E64B99"/>
    <w:p w14:paraId="48DFE1D4" w14:textId="77777777" w:rsidR="00E64B99" w:rsidRDefault="00E6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rporateCVS">
    <w:altName w:val="CorporateCV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7ACD" w14:textId="77777777" w:rsidR="009F1273" w:rsidRDefault="009F1273" w:rsidP="00E44005">
    <w:r>
      <w:fldChar w:fldCharType="begin"/>
    </w:r>
    <w:r>
      <w:instrText xml:space="preserve">PAGE  </w:instrText>
    </w:r>
    <w:r>
      <w:fldChar w:fldCharType="separate"/>
    </w:r>
    <w:r>
      <w:rPr>
        <w:noProof/>
      </w:rPr>
      <w:t>5</w:t>
    </w:r>
    <w:r>
      <w:fldChar w:fldCharType="end"/>
    </w:r>
  </w:p>
  <w:p w14:paraId="1E9E13CB" w14:textId="77777777" w:rsidR="009F1273" w:rsidRDefault="009F1273" w:rsidP="00E44005"/>
  <w:p w14:paraId="7F96FE25" w14:textId="77777777" w:rsidR="009F1273" w:rsidRDefault="009F1273"/>
  <w:p w14:paraId="2AAD73F1" w14:textId="77777777" w:rsidR="009F1273" w:rsidRDefault="009F1273"/>
  <w:p w14:paraId="58AA3B44" w14:textId="77777777" w:rsidR="009F1273" w:rsidRDefault="009F1273"/>
  <w:p w14:paraId="44382F56" w14:textId="77777777" w:rsidR="009F1273" w:rsidRDefault="009F1273"/>
  <w:p w14:paraId="4446B802" w14:textId="77777777" w:rsidR="009F1273" w:rsidRDefault="009F1273"/>
  <w:p w14:paraId="1903B355" w14:textId="77777777" w:rsidR="009F1273" w:rsidRDefault="009F1273"/>
  <w:p w14:paraId="5BFB4A7B" w14:textId="77777777" w:rsidR="009F1273" w:rsidRDefault="009F1273"/>
  <w:p w14:paraId="39F9BCFE" w14:textId="77777777" w:rsidR="009F1273" w:rsidRDefault="009F1273"/>
  <w:p w14:paraId="61970269" w14:textId="77777777" w:rsidR="009F1273" w:rsidRDefault="009F1273"/>
  <w:p w14:paraId="558FB0AD" w14:textId="77777777"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14:paraId="085D5E48"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14:paraId="209E8D0A"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14:paraId="051143C2"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14:paraId="38A7DD06" w14:textId="77777777" w:rsidTr="009F1273">
                        <w:trPr>
                          <w:trHeight w:val="132"/>
                        </w:trPr>
                        <w:tc>
                          <w:tcPr>
                            <w:tcW w:w="1919" w:type="dxa"/>
                          </w:tcPr>
                          <w:p w14:paraId="510F5DD7" w14:textId="77777777"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11EBF995" wp14:editId="24D2957C">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53195D9" w14:textId="77777777"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4F3C17DE" w14:textId="77777777"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27E3C">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27E3C">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2E5ECAFB" w14:textId="77777777" w:rsidR="009F1273" w:rsidRPr="00D442D6" w:rsidRDefault="009F1273" w:rsidP="009F1273">
                      <w:pPr>
                        <w:spacing w:after="0"/>
                        <w:rPr>
                          <w:rFonts w:ascii="Times New Roman" w:hAnsi="Times New Roman"/>
                          <w:sz w:val="16"/>
                          <w:szCs w:val="16"/>
                        </w:rPr>
                      </w:pPr>
                    </w:p>
                  </w:tc>
                  <w:tc>
                    <w:tcPr>
                      <w:tcW w:w="4519" w:type="dxa"/>
                    </w:tcPr>
                    <w:p w14:paraId="4128E912" w14:textId="77777777" w:rsidR="009F1273" w:rsidRPr="00D442D6" w:rsidRDefault="009F1273" w:rsidP="009F1273">
                      <w:pPr>
                        <w:pStyle w:val="RahmenFuzeile"/>
                        <w:jc w:val="center"/>
                        <w:rPr>
                          <w:rFonts w:ascii="Times New Roman" w:hAnsi="Times New Roman"/>
                          <w:szCs w:val="16"/>
                        </w:rPr>
                      </w:pPr>
                    </w:p>
                  </w:tc>
                  <w:tc>
                    <w:tcPr>
                      <w:tcW w:w="2861" w:type="dxa"/>
                    </w:tcPr>
                    <w:p w14:paraId="6E00FBED" w14:textId="77777777" w:rsidR="009F1273" w:rsidRPr="00D442D6" w:rsidRDefault="009F1273" w:rsidP="009F1273">
                      <w:pPr>
                        <w:pStyle w:val="RahmenFuzeile"/>
                        <w:jc w:val="right"/>
                        <w:rPr>
                          <w:rFonts w:ascii="Times New Roman" w:hAnsi="Times New Roman"/>
                          <w:szCs w:val="16"/>
                        </w:rPr>
                      </w:pPr>
                    </w:p>
                  </w:tc>
                </w:tr>
              </w:tbl>
              <w:p w14:paraId="39C3BAC2" w14:textId="77777777" w:rsidR="009F1273" w:rsidRPr="00D442D6" w:rsidRDefault="009F1273" w:rsidP="009F1273">
                <w:pPr>
                  <w:spacing w:after="0"/>
                  <w:rPr>
                    <w:rFonts w:ascii="Times New Roman" w:hAnsi="Times New Roman"/>
                    <w:sz w:val="16"/>
                    <w:szCs w:val="16"/>
                  </w:rPr>
                </w:pPr>
              </w:p>
            </w:tc>
            <w:tc>
              <w:tcPr>
                <w:tcW w:w="4519" w:type="dxa"/>
              </w:tcPr>
              <w:p w14:paraId="748146A2" w14:textId="77777777" w:rsidR="009F1273" w:rsidRPr="00D442D6" w:rsidRDefault="009F1273" w:rsidP="009F1273">
                <w:pPr>
                  <w:pStyle w:val="RahmenFuzeile"/>
                  <w:jc w:val="center"/>
                  <w:rPr>
                    <w:rFonts w:ascii="Times New Roman" w:hAnsi="Times New Roman"/>
                    <w:szCs w:val="16"/>
                  </w:rPr>
                </w:pPr>
              </w:p>
            </w:tc>
            <w:tc>
              <w:tcPr>
                <w:tcW w:w="2861" w:type="dxa"/>
              </w:tcPr>
              <w:p w14:paraId="5B357289" w14:textId="77777777" w:rsidR="009F1273" w:rsidRPr="00D442D6" w:rsidRDefault="009F1273" w:rsidP="009F1273">
                <w:pPr>
                  <w:pStyle w:val="RahmenFuzeile"/>
                  <w:jc w:val="right"/>
                  <w:rPr>
                    <w:rFonts w:ascii="Times New Roman" w:hAnsi="Times New Roman"/>
                    <w:szCs w:val="16"/>
                  </w:rPr>
                </w:pPr>
              </w:p>
            </w:tc>
          </w:tr>
        </w:tbl>
        <w:p w14:paraId="433046BA" w14:textId="77777777" w:rsidR="009F1273" w:rsidRPr="00D442D6" w:rsidRDefault="009F1273" w:rsidP="00383D1A">
          <w:pPr>
            <w:spacing w:after="0"/>
            <w:rPr>
              <w:rFonts w:ascii="Times New Roman" w:hAnsi="Times New Roman"/>
              <w:sz w:val="16"/>
              <w:szCs w:val="16"/>
            </w:rPr>
          </w:pPr>
        </w:p>
      </w:tc>
      <w:tc>
        <w:tcPr>
          <w:tcW w:w="4519" w:type="dxa"/>
        </w:tcPr>
        <w:p w14:paraId="55ACF2DF" w14:textId="77777777" w:rsidR="009F1273" w:rsidRPr="00D442D6" w:rsidRDefault="009F1273" w:rsidP="00C67B21">
          <w:pPr>
            <w:pStyle w:val="RahmenFuzeile"/>
            <w:jc w:val="center"/>
            <w:rPr>
              <w:rFonts w:ascii="Times New Roman" w:hAnsi="Times New Roman"/>
              <w:szCs w:val="16"/>
            </w:rPr>
          </w:pPr>
        </w:p>
      </w:tc>
      <w:tc>
        <w:tcPr>
          <w:tcW w:w="2861" w:type="dxa"/>
        </w:tcPr>
        <w:p w14:paraId="1692FD91" w14:textId="77777777"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9BCD" w14:textId="77777777" w:rsidR="00E64B99" w:rsidRDefault="00E64B99">
      <w:r>
        <w:separator/>
      </w:r>
    </w:p>
    <w:p w14:paraId="5A8DF9F6" w14:textId="77777777" w:rsidR="00E64B99" w:rsidRDefault="00E64B99"/>
    <w:p w14:paraId="13BB4130" w14:textId="77777777" w:rsidR="00E64B99" w:rsidRDefault="00E64B99"/>
    <w:p w14:paraId="11C09AB8" w14:textId="77777777" w:rsidR="00E64B99" w:rsidRDefault="00E64B99"/>
    <w:p w14:paraId="24FC34E0" w14:textId="77777777" w:rsidR="00E64B99" w:rsidRDefault="00E64B99"/>
    <w:p w14:paraId="7A853968" w14:textId="77777777" w:rsidR="00E64B99" w:rsidRDefault="00E64B99"/>
    <w:p w14:paraId="63F84849" w14:textId="77777777" w:rsidR="00E64B99" w:rsidRDefault="00E64B99"/>
    <w:p w14:paraId="46F9FBF3" w14:textId="77777777" w:rsidR="00E64B99" w:rsidRDefault="00E64B99"/>
  </w:footnote>
  <w:footnote w:type="continuationSeparator" w:id="0">
    <w:p w14:paraId="59DAB51D" w14:textId="77777777" w:rsidR="00E64B99" w:rsidRDefault="00E64B99">
      <w:r>
        <w:continuationSeparator/>
      </w:r>
    </w:p>
    <w:p w14:paraId="3662F16D" w14:textId="77777777" w:rsidR="00E64B99" w:rsidRDefault="00E64B99"/>
    <w:p w14:paraId="0CD4BEEA" w14:textId="77777777" w:rsidR="00E64B99" w:rsidRDefault="00E64B99"/>
    <w:p w14:paraId="58ACC217" w14:textId="77777777" w:rsidR="00E64B99" w:rsidRDefault="00E64B99"/>
    <w:p w14:paraId="769ED733" w14:textId="77777777" w:rsidR="00E64B99" w:rsidRDefault="00E64B99"/>
    <w:p w14:paraId="46B2C07B" w14:textId="77777777" w:rsidR="00E64B99" w:rsidRDefault="00E64B99"/>
    <w:p w14:paraId="528EF963" w14:textId="77777777" w:rsidR="00E64B99" w:rsidRDefault="00E64B99"/>
    <w:p w14:paraId="52022879" w14:textId="77777777" w:rsidR="00E64B99" w:rsidRDefault="00E64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5D6" w14:textId="77777777" w:rsidR="009F1273" w:rsidRDefault="009F1273">
    <w:pPr>
      <w:pStyle w:val="Kopfzeile"/>
    </w:pPr>
  </w:p>
  <w:p w14:paraId="3DC15900" w14:textId="77777777" w:rsidR="009F1273" w:rsidRDefault="009F1273"/>
  <w:p w14:paraId="13EB6A8D" w14:textId="77777777" w:rsidR="009F1273" w:rsidRDefault="009F1273"/>
  <w:p w14:paraId="682DC051" w14:textId="77777777" w:rsidR="009F1273" w:rsidRDefault="009F1273"/>
  <w:p w14:paraId="44447BB6" w14:textId="77777777" w:rsidR="009F1273" w:rsidRDefault="009F1273"/>
  <w:p w14:paraId="56E8A62E" w14:textId="77777777" w:rsidR="009F1273" w:rsidRDefault="009F1273"/>
  <w:p w14:paraId="1CB52FE3" w14:textId="77777777" w:rsidR="009F1273" w:rsidRDefault="009F1273"/>
  <w:p w14:paraId="4FD70A18" w14:textId="77777777"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14:paraId="2660C5BC" w14:textId="77777777" w:rsidTr="004904AF">
      <w:trPr>
        <w:trHeight w:val="272"/>
      </w:trPr>
      <w:tc>
        <w:tcPr>
          <w:tcW w:w="6521" w:type="dxa"/>
        </w:tcPr>
        <w:p w14:paraId="3E82E87E" w14:textId="77777777" w:rsidR="009F1273" w:rsidRPr="00650060" w:rsidRDefault="009F1273" w:rsidP="00650060">
          <w:pPr>
            <w:pStyle w:val="0berschrift4"/>
          </w:pPr>
          <w:r>
            <w:rPr>
              <w:noProof/>
            </w:rPr>
            <mc:AlternateContent>
              <mc:Choice Requires="wps">
                <w:drawing>
                  <wp:anchor distT="0" distB="0" distL="114300" distR="114300" simplePos="0" relativeHeight="251657728" behindDoc="0" locked="0" layoutInCell="1" allowOverlap="1" wp14:anchorId="0D92CC63" wp14:editId="53B7B79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3C8E" w14:textId="77777777"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2CC63"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CFD3C8E" w14:textId="77777777" w:rsidR="009F1273" w:rsidRDefault="009F1273" w:rsidP="00EE4AFB">
                          <w:pPr>
                            <w:pStyle w:val="RahmenCopyrightvermerk"/>
                            <w:jc w:val="left"/>
                            <w:rPr>
                              <w:rFonts w:cs="Arial"/>
                            </w:rPr>
                          </w:pPr>
                        </w:p>
                      </w:txbxContent>
                    </v:textbox>
                    <w10:wrap anchorx="margin"/>
                  </v:shape>
                </w:pict>
              </mc:Fallback>
            </mc:AlternateContent>
          </w:r>
          <w:r w:rsidR="006045AB">
            <w:t>Minderheiten und kulturelle Vielfalt in Polen</w:t>
          </w:r>
        </w:p>
      </w:tc>
      <w:tc>
        <w:tcPr>
          <w:tcW w:w="3192" w:type="dxa"/>
          <w:gridSpan w:val="2"/>
        </w:tcPr>
        <w:p w14:paraId="061B4A28" w14:textId="77777777" w:rsidR="009F1273" w:rsidRPr="00650060" w:rsidRDefault="009F1273" w:rsidP="004904AF">
          <w:pPr>
            <w:pStyle w:val="0berschrift4"/>
          </w:pPr>
          <w:r w:rsidRPr="004B7716">
            <w:rPr>
              <w:b/>
            </w:rPr>
            <w:t>Politik und Gesellschaft</w:t>
          </w:r>
          <w:r w:rsidRPr="00650060">
            <w:rPr>
              <w:rStyle w:val="RahmenSymbol"/>
            </w:rPr>
            <w:t></w:t>
          </w:r>
        </w:p>
      </w:tc>
    </w:tr>
    <w:tr w:rsidR="009F1273" w14:paraId="05C430F1" w14:textId="77777777" w:rsidTr="0003613B">
      <w:trPr>
        <w:trHeight w:val="272"/>
      </w:trPr>
      <w:tc>
        <w:tcPr>
          <w:tcW w:w="8714" w:type="dxa"/>
          <w:gridSpan w:val="2"/>
        </w:tcPr>
        <w:p w14:paraId="5FD06209" w14:textId="77777777" w:rsidR="009F1273" w:rsidRPr="002833C2" w:rsidRDefault="009F1273" w:rsidP="0003613B">
          <w:pPr>
            <w:pStyle w:val="1Standardflietext"/>
            <w:tabs>
              <w:tab w:val="left" w:pos="2100"/>
            </w:tabs>
            <w:spacing w:after="0"/>
            <w:rPr>
              <w:i/>
            </w:rPr>
          </w:pPr>
          <w:r>
            <w:rPr>
              <w:i/>
            </w:rPr>
            <w:tab/>
          </w:r>
        </w:p>
      </w:tc>
      <w:tc>
        <w:tcPr>
          <w:tcW w:w="999" w:type="dxa"/>
        </w:tcPr>
        <w:p w14:paraId="23A5EEAC" w14:textId="77777777" w:rsidR="009F1273" w:rsidRPr="002833C2" w:rsidRDefault="009F1273" w:rsidP="0003613B">
          <w:pPr>
            <w:pStyle w:val="RahmenKopfzeilerechts"/>
            <w:rPr>
              <w:rStyle w:val="RahmenKopfzeilerechtsZchnZchn"/>
              <w:i/>
            </w:rPr>
          </w:pPr>
        </w:p>
      </w:tc>
    </w:tr>
  </w:tbl>
  <w:p w14:paraId="51D7626C" w14:textId="77777777"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0E3"/>
    <w:multiLevelType w:val="multilevel"/>
    <w:tmpl w:val="FBB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172F63"/>
    <w:multiLevelType w:val="multilevel"/>
    <w:tmpl w:val="6860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D39D6"/>
    <w:multiLevelType w:val="multilevel"/>
    <w:tmpl w:val="19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6"/>
    <w:rsid w:val="000036D7"/>
    <w:rsid w:val="000079E7"/>
    <w:rsid w:val="00012FD5"/>
    <w:rsid w:val="00021294"/>
    <w:rsid w:val="00026C0A"/>
    <w:rsid w:val="00026FB6"/>
    <w:rsid w:val="000270EA"/>
    <w:rsid w:val="00031322"/>
    <w:rsid w:val="00035908"/>
    <w:rsid w:val="0003613B"/>
    <w:rsid w:val="00040280"/>
    <w:rsid w:val="00041780"/>
    <w:rsid w:val="000434CE"/>
    <w:rsid w:val="000525AE"/>
    <w:rsid w:val="000564E4"/>
    <w:rsid w:val="0006254E"/>
    <w:rsid w:val="00062CB1"/>
    <w:rsid w:val="00062ECB"/>
    <w:rsid w:val="00063791"/>
    <w:rsid w:val="0006678C"/>
    <w:rsid w:val="00070934"/>
    <w:rsid w:val="000720FC"/>
    <w:rsid w:val="00076C38"/>
    <w:rsid w:val="000777B6"/>
    <w:rsid w:val="000819A0"/>
    <w:rsid w:val="000922CE"/>
    <w:rsid w:val="00092C6C"/>
    <w:rsid w:val="0009359D"/>
    <w:rsid w:val="00094BBE"/>
    <w:rsid w:val="00096830"/>
    <w:rsid w:val="00096B03"/>
    <w:rsid w:val="000A2293"/>
    <w:rsid w:val="000A6685"/>
    <w:rsid w:val="000B2E8B"/>
    <w:rsid w:val="000C6C75"/>
    <w:rsid w:val="000D242E"/>
    <w:rsid w:val="000E04C0"/>
    <w:rsid w:val="000E0DE3"/>
    <w:rsid w:val="000E238F"/>
    <w:rsid w:val="000E27EF"/>
    <w:rsid w:val="000E3D24"/>
    <w:rsid w:val="000E528E"/>
    <w:rsid w:val="000F107F"/>
    <w:rsid w:val="000F21D8"/>
    <w:rsid w:val="000F2509"/>
    <w:rsid w:val="000F50A8"/>
    <w:rsid w:val="000F7CB4"/>
    <w:rsid w:val="00102DBA"/>
    <w:rsid w:val="00107625"/>
    <w:rsid w:val="00114C43"/>
    <w:rsid w:val="00120A9F"/>
    <w:rsid w:val="00121293"/>
    <w:rsid w:val="00127484"/>
    <w:rsid w:val="00137907"/>
    <w:rsid w:val="0014005F"/>
    <w:rsid w:val="0014256E"/>
    <w:rsid w:val="00144E39"/>
    <w:rsid w:val="00146FFD"/>
    <w:rsid w:val="001506D1"/>
    <w:rsid w:val="00156BCB"/>
    <w:rsid w:val="00161CAE"/>
    <w:rsid w:val="001624A8"/>
    <w:rsid w:val="0016339B"/>
    <w:rsid w:val="0016430F"/>
    <w:rsid w:val="00165115"/>
    <w:rsid w:val="001674F1"/>
    <w:rsid w:val="00186A59"/>
    <w:rsid w:val="00195BC8"/>
    <w:rsid w:val="0019678C"/>
    <w:rsid w:val="001B3E83"/>
    <w:rsid w:val="001B3F46"/>
    <w:rsid w:val="001B647F"/>
    <w:rsid w:val="001C1B23"/>
    <w:rsid w:val="001D4D7D"/>
    <w:rsid w:val="001D59F6"/>
    <w:rsid w:val="001E07A0"/>
    <w:rsid w:val="001E1443"/>
    <w:rsid w:val="001E1C51"/>
    <w:rsid w:val="001E26DA"/>
    <w:rsid w:val="001E35C2"/>
    <w:rsid w:val="001E6769"/>
    <w:rsid w:val="001F1FE7"/>
    <w:rsid w:val="001F367B"/>
    <w:rsid w:val="001F464D"/>
    <w:rsid w:val="001F59B2"/>
    <w:rsid w:val="001F6BAE"/>
    <w:rsid w:val="001F70F2"/>
    <w:rsid w:val="002017E5"/>
    <w:rsid w:val="0021125B"/>
    <w:rsid w:val="00213F0A"/>
    <w:rsid w:val="002143E3"/>
    <w:rsid w:val="00215422"/>
    <w:rsid w:val="00227E3C"/>
    <w:rsid w:val="00231684"/>
    <w:rsid w:val="00231F30"/>
    <w:rsid w:val="002345E4"/>
    <w:rsid w:val="002369BD"/>
    <w:rsid w:val="0024442C"/>
    <w:rsid w:val="00244655"/>
    <w:rsid w:val="00251BD7"/>
    <w:rsid w:val="00253B0C"/>
    <w:rsid w:val="00255097"/>
    <w:rsid w:val="00257983"/>
    <w:rsid w:val="00257EB8"/>
    <w:rsid w:val="00261D70"/>
    <w:rsid w:val="002646D1"/>
    <w:rsid w:val="00276128"/>
    <w:rsid w:val="00280069"/>
    <w:rsid w:val="00282D72"/>
    <w:rsid w:val="002833C2"/>
    <w:rsid w:val="00287FC8"/>
    <w:rsid w:val="002917E8"/>
    <w:rsid w:val="002A3A65"/>
    <w:rsid w:val="002A4899"/>
    <w:rsid w:val="002B0CBD"/>
    <w:rsid w:val="002B4A21"/>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3F33"/>
    <w:rsid w:val="00304729"/>
    <w:rsid w:val="00304D6E"/>
    <w:rsid w:val="00305CB9"/>
    <w:rsid w:val="00311278"/>
    <w:rsid w:val="00325177"/>
    <w:rsid w:val="00334CF3"/>
    <w:rsid w:val="00334D06"/>
    <w:rsid w:val="00340C99"/>
    <w:rsid w:val="0034341F"/>
    <w:rsid w:val="00347D53"/>
    <w:rsid w:val="003524B3"/>
    <w:rsid w:val="00352A61"/>
    <w:rsid w:val="0035460B"/>
    <w:rsid w:val="00355522"/>
    <w:rsid w:val="00356A49"/>
    <w:rsid w:val="00365669"/>
    <w:rsid w:val="00377201"/>
    <w:rsid w:val="00383D1A"/>
    <w:rsid w:val="00383FB9"/>
    <w:rsid w:val="00386141"/>
    <w:rsid w:val="003861AF"/>
    <w:rsid w:val="00387FBF"/>
    <w:rsid w:val="0039208C"/>
    <w:rsid w:val="003A090D"/>
    <w:rsid w:val="003A2FC6"/>
    <w:rsid w:val="003B2910"/>
    <w:rsid w:val="003B4780"/>
    <w:rsid w:val="003B6172"/>
    <w:rsid w:val="003B638C"/>
    <w:rsid w:val="003B6FA6"/>
    <w:rsid w:val="003B7477"/>
    <w:rsid w:val="003C036E"/>
    <w:rsid w:val="003C3A6F"/>
    <w:rsid w:val="003C5111"/>
    <w:rsid w:val="003C6B13"/>
    <w:rsid w:val="003D2756"/>
    <w:rsid w:val="003D5D96"/>
    <w:rsid w:val="003D705F"/>
    <w:rsid w:val="003E1202"/>
    <w:rsid w:val="003E26FF"/>
    <w:rsid w:val="003E2862"/>
    <w:rsid w:val="003E29FB"/>
    <w:rsid w:val="003E2E7F"/>
    <w:rsid w:val="003E4018"/>
    <w:rsid w:val="003E4DD2"/>
    <w:rsid w:val="003E5059"/>
    <w:rsid w:val="003F19DC"/>
    <w:rsid w:val="003F2117"/>
    <w:rsid w:val="003F21D9"/>
    <w:rsid w:val="003F27EF"/>
    <w:rsid w:val="003F2BAA"/>
    <w:rsid w:val="003F367E"/>
    <w:rsid w:val="00403829"/>
    <w:rsid w:val="00405080"/>
    <w:rsid w:val="0040732B"/>
    <w:rsid w:val="00413E34"/>
    <w:rsid w:val="0042027D"/>
    <w:rsid w:val="0042038D"/>
    <w:rsid w:val="00421F52"/>
    <w:rsid w:val="00425D85"/>
    <w:rsid w:val="00425DEE"/>
    <w:rsid w:val="00434919"/>
    <w:rsid w:val="0043659F"/>
    <w:rsid w:val="00440342"/>
    <w:rsid w:val="00441489"/>
    <w:rsid w:val="00442223"/>
    <w:rsid w:val="0044301C"/>
    <w:rsid w:val="004430C0"/>
    <w:rsid w:val="004430F7"/>
    <w:rsid w:val="00445003"/>
    <w:rsid w:val="00445E73"/>
    <w:rsid w:val="00446D70"/>
    <w:rsid w:val="00447486"/>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1AE7"/>
    <w:rsid w:val="004C68A6"/>
    <w:rsid w:val="004D4E71"/>
    <w:rsid w:val="004D510D"/>
    <w:rsid w:val="004E0620"/>
    <w:rsid w:val="004E39F4"/>
    <w:rsid w:val="004E412C"/>
    <w:rsid w:val="004E4F0D"/>
    <w:rsid w:val="004E7BDB"/>
    <w:rsid w:val="004F1A91"/>
    <w:rsid w:val="004F7F89"/>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3C16"/>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045AB"/>
    <w:rsid w:val="006127F1"/>
    <w:rsid w:val="00612B8C"/>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2AA5"/>
    <w:rsid w:val="00673687"/>
    <w:rsid w:val="006825CD"/>
    <w:rsid w:val="0068332C"/>
    <w:rsid w:val="00685629"/>
    <w:rsid w:val="00687610"/>
    <w:rsid w:val="006902A7"/>
    <w:rsid w:val="006902E3"/>
    <w:rsid w:val="00693C74"/>
    <w:rsid w:val="00697F25"/>
    <w:rsid w:val="006A00E9"/>
    <w:rsid w:val="006A34A3"/>
    <w:rsid w:val="006A6EFC"/>
    <w:rsid w:val="006B0620"/>
    <w:rsid w:val="006B2693"/>
    <w:rsid w:val="006B6676"/>
    <w:rsid w:val="006B7C96"/>
    <w:rsid w:val="006C43AA"/>
    <w:rsid w:val="006C78DB"/>
    <w:rsid w:val="006C7E1C"/>
    <w:rsid w:val="006D0F26"/>
    <w:rsid w:val="006D1285"/>
    <w:rsid w:val="006D1C9C"/>
    <w:rsid w:val="006E2EA3"/>
    <w:rsid w:val="006E4E12"/>
    <w:rsid w:val="006F551D"/>
    <w:rsid w:val="00701D0C"/>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6679A"/>
    <w:rsid w:val="00770A83"/>
    <w:rsid w:val="00770FD4"/>
    <w:rsid w:val="0077553C"/>
    <w:rsid w:val="007806F0"/>
    <w:rsid w:val="00781331"/>
    <w:rsid w:val="007840C2"/>
    <w:rsid w:val="007871BC"/>
    <w:rsid w:val="00791852"/>
    <w:rsid w:val="00793D4C"/>
    <w:rsid w:val="00797021"/>
    <w:rsid w:val="007A0DF3"/>
    <w:rsid w:val="007A293C"/>
    <w:rsid w:val="007A5025"/>
    <w:rsid w:val="007C2808"/>
    <w:rsid w:val="007C2BCF"/>
    <w:rsid w:val="007C3C59"/>
    <w:rsid w:val="007C6DF5"/>
    <w:rsid w:val="007C6FF1"/>
    <w:rsid w:val="007D10DF"/>
    <w:rsid w:val="007D2A43"/>
    <w:rsid w:val="007D4AFE"/>
    <w:rsid w:val="007D668D"/>
    <w:rsid w:val="007D7008"/>
    <w:rsid w:val="007E6509"/>
    <w:rsid w:val="007E6BD0"/>
    <w:rsid w:val="007F0505"/>
    <w:rsid w:val="007F1386"/>
    <w:rsid w:val="007F14F4"/>
    <w:rsid w:val="007F1F44"/>
    <w:rsid w:val="007F5A4A"/>
    <w:rsid w:val="008016A2"/>
    <w:rsid w:val="00801834"/>
    <w:rsid w:val="008056FF"/>
    <w:rsid w:val="00807CD5"/>
    <w:rsid w:val="008103D6"/>
    <w:rsid w:val="00811365"/>
    <w:rsid w:val="00815DD0"/>
    <w:rsid w:val="00817D12"/>
    <w:rsid w:val="008228B5"/>
    <w:rsid w:val="0082464F"/>
    <w:rsid w:val="008246EB"/>
    <w:rsid w:val="0082598C"/>
    <w:rsid w:val="00834288"/>
    <w:rsid w:val="008373A4"/>
    <w:rsid w:val="00842A0D"/>
    <w:rsid w:val="00842DFE"/>
    <w:rsid w:val="00845A23"/>
    <w:rsid w:val="008566A7"/>
    <w:rsid w:val="00863AE2"/>
    <w:rsid w:val="008647FF"/>
    <w:rsid w:val="00864879"/>
    <w:rsid w:val="0086596D"/>
    <w:rsid w:val="00870748"/>
    <w:rsid w:val="0087090A"/>
    <w:rsid w:val="008726D2"/>
    <w:rsid w:val="0087362D"/>
    <w:rsid w:val="00882600"/>
    <w:rsid w:val="008835DC"/>
    <w:rsid w:val="008849E7"/>
    <w:rsid w:val="008865D6"/>
    <w:rsid w:val="00887A7D"/>
    <w:rsid w:val="008976F8"/>
    <w:rsid w:val="008A2DF7"/>
    <w:rsid w:val="008B0642"/>
    <w:rsid w:val="008B389E"/>
    <w:rsid w:val="008B769E"/>
    <w:rsid w:val="008C277C"/>
    <w:rsid w:val="008C35F2"/>
    <w:rsid w:val="008C77F4"/>
    <w:rsid w:val="008D08AA"/>
    <w:rsid w:val="008D3F4B"/>
    <w:rsid w:val="008D66C8"/>
    <w:rsid w:val="008D791F"/>
    <w:rsid w:val="008F16CE"/>
    <w:rsid w:val="008F3E50"/>
    <w:rsid w:val="008F70EE"/>
    <w:rsid w:val="008F7926"/>
    <w:rsid w:val="009005F9"/>
    <w:rsid w:val="0090325E"/>
    <w:rsid w:val="009067D5"/>
    <w:rsid w:val="009079A6"/>
    <w:rsid w:val="009111AA"/>
    <w:rsid w:val="00916304"/>
    <w:rsid w:val="00916AFF"/>
    <w:rsid w:val="00922367"/>
    <w:rsid w:val="00922FE0"/>
    <w:rsid w:val="009252A9"/>
    <w:rsid w:val="009252B7"/>
    <w:rsid w:val="00932B3F"/>
    <w:rsid w:val="00933B6C"/>
    <w:rsid w:val="00933E16"/>
    <w:rsid w:val="00934AB7"/>
    <w:rsid w:val="00935A77"/>
    <w:rsid w:val="009378BB"/>
    <w:rsid w:val="0094147E"/>
    <w:rsid w:val="00945ED6"/>
    <w:rsid w:val="00946B15"/>
    <w:rsid w:val="00947D43"/>
    <w:rsid w:val="00956EF2"/>
    <w:rsid w:val="00963518"/>
    <w:rsid w:val="00967649"/>
    <w:rsid w:val="00970FE2"/>
    <w:rsid w:val="00971E69"/>
    <w:rsid w:val="00985CE8"/>
    <w:rsid w:val="0098656D"/>
    <w:rsid w:val="00990706"/>
    <w:rsid w:val="0099163E"/>
    <w:rsid w:val="00992F79"/>
    <w:rsid w:val="009940A7"/>
    <w:rsid w:val="0099491D"/>
    <w:rsid w:val="009A74FD"/>
    <w:rsid w:val="009C2A3F"/>
    <w:rsid w:val="009C4B06"/>
    <w:rsid w:val="009C5612"/>
    <w:rsid w:val="009C70A6"/>
    <w:rsid w:val="009E1A27"/>
    <w:rsid w:val="009E59A9"/>
    <w:rsid w:val="009F1273"/>
    <w:rsid w:val="009F4A24"/>
    <w:rsid w:val="009F6231"/>
    <w:rsid w:val="00A03E9F"/>
    <w:rsid w:val="00A07620"/>
    <w:rsid w:val="00A11747"/>
    <w:rsid w:val="00A119F8"/>
    <w:rsid w:val="00A137FE"/>
    <w:rsid w:val="00A211DC"/>
    <w:rsid w:val="00A217FB"/>
    <w:rsid w:val="00A323A3"/>
    <w:rsid w:val="00A353D8"/>
    <w:rsid w:val="00A36401"/>
    <w:rsid w:val="00A364AA"/>
    <w:rsid w:val="00A37CDA"/>
    <w:rsid w:val="00A44F16"/>
    <w:rsid w:val="00A47ED1"/>
    <w:rsid w:val="00A529A5"/>
    <w:rsid w:val="00A53B22"/>
    <w:rsid w:val="00A62797"/>
    <w:rsid w:val="00A644E6"/>
    <w:rsid w:val="00A64D2B"/>
    <w:rsid w:val="00A6623D"/>
    <w:rsid w:val="00A74B28"/>
    <w:rsid w:val="00A85CF5"/>
    <w:rsid w:val="00A8770A"/>
    <w:rsid w:val="00A90E52"/>
    <w:rsid w:val="00A90E9F"/>
    <w:rsid w:val="00A9197C"/>
    <w:rsid w:val="00A971C7"/>
    <w:rsid w:val="00AA6038"/>
    <w:rsid w:val="00AB3F4A"/>
    <w:rsid w:val="00AB7C59"/>
    <w:rsid w:val="00AD12F3"/>
    <w:rsid w:val="00AD66BF"/>
    <w:rsid w:val="00AD74AC"/>
    <w:rsid w:val="00AE248D"/>
    <w:rsid w:val="00AE4D7F"/>
    <w:rsid w:val="00AE6A78"/>
    <w:rsid w:val="00AF063F"/>
    <w:rsid w:val="00AF14C3"/>
    <w:rsid w:val="00AF24A9"/>
    <w:rsid w:val="00AF3D45"/>
    <w:rsid w:val="00AF5811"/>
    <w:rsid w:val="00AF7FCE"/>
    <w:rsid w:val="00B04F65"/>
    <w:rsid w:val="00B055ED"/>
    <w:rsid w:val="00B15216"/>
    <w:rsid w:val="00B15460"/>
    <w:rsid w:val="00B30F43"/>
    <w:rsid w:val="00B31DAE"/>
    <w:rsid w:val="00B342C4"/>
    <w:rsid w:val="00B37580"/>
    <w:rsid w:val="00B37CAF"/>
    <w:rsid w:val="00B40C33"/>
    <w:rsid w:val="00B4144D"/>
    <w:rsid w:val="00B43FCD"/>
    <w:rsid w:val="00B47511"/>
    <w:rsid w:val="00B60BB9"/>
    <w:rsid w:val="00B61DCB"/>
    <w:rsid w:val="00B642E2"/>
    <w:rsid w:val="00B64402"/>
    <w:rsid w:val="00B660BA"/>
    <w:rsid w:val="00B718DB"/>
    <w:rsid w:val="00B75DA6"/>
    <w:rsid w:val="00B85A00"/>
    <w:rsid w:val="00B866B9"/>
    <w:rsid w:val="00B86B2C"/>
    <w:rsid w:val="00B9069C"/>
    <w:rsid w:val="00B916B5"/>
    <w:rsid w:val="00B91CAC"/>
    <w:rsid w:val="00B92B5A"/>
    <w:rsid w:val="00B95874"/>
    <w:rsid w:val="00BA1ED5"/>
    <w:rsid w:val="00BA533E"/>
    <w:rsid w:val="00BA6BC1"/>
    <w:rsid w:val="00BA70CB"/>
    <w:rsid w:val="00BA7F97"/>
    <w:rsid w:val="00BB39D9"/>
    <w:rsid w:val="00BB6934"/>
    <w:rsid w:val="00BB7E88"/>
    <w:rsid w:val="00BC30A2"/>
    <w:rsid w:val="00BC5692"/>
    <w:rsid w:val="00BC5F98"/>
    <w:rsid w:val="00BD2E3A"/>
    <w:rsid w:val="00BD4A5A"/>
    <w:rsid w:val="00BD542D"/>
    <w:rsid w:val="00BD573D"/>
    <w:rsid w:val="00BD77C4"/>
    <w:rsid w:val="00BE46B3"/>
    <w:rsid w:val="00BE4A6F"/>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2E03"/>
    <w:rsid w:val="00C73F55"/>
    <w:rsid w:val="00C83EA2"/>
    <w:rsid w:val="00C84B50"/>
    <w:rsid w:val="00C86E80"/>
    <w:rsid w:val="00C87972"/>
    <w:rsid w:val="00C9136E"/>
    <w:rsid w:val="00C965A7"/>
    <w:rsid w:val="00CA1933"/>
    <w:rsid w:val="00CA2AB7"/>
    <w:rsid w:val="00CA3397"/>
    <w:rsid w:val="00CA5837"/>
    <w:rsid w:val="00CB4729"/>
    <w:rsid w:val="00CC3FFC"/>
    <w:rsid w:val="00CD1001"/>
    <w:rsid w:val="00CD5F8B"/>
    <w:rsid w:val="00CE09F6"/>
    <w:rsid w:val="00CE0B7A"/>
    <w:rsid w:val="00CE17C7"/>
    <w:rsid w:val="00CE1EAE"/>
    <w:rsid w:val="00CE2559"/>
    <w:rsid w:val="00CE39D8"/>
    <w:rsid w:val="00CF1730"/>
    <w:rsid w:val="00CF2DBE"/>
    <w:rsid w:val="00CF6603"/>
    <w:rsid w:val="00D030E9"/>
    <w:rsid w:val="00D0334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D616B"/>
    <w:rsid w:val="00DE1DFB"/>
    <w:rsid w:val="00DE5395"/>
    <w:rsid w:val="00DE554E"/>
    <w:rsid w:val="00DE7CA4"/>
    <w:rsid w:val="00DF222A"/>
    <w:rsid w:val="00E00C01"/>
    <w:rsid w:val="00E02328"/>
    <w:rsid w:val="00E023D1"/>
    <w:rsid w:val="00E111A5"/>
    <w:rsid w:val="00E12AD0"/>
    <w:rsid w:val="00E2468C"/>
    <w:rsid w:val="00E31945"/>
    <w:rsid w:val="00E31F9D"/>
    <w:rsid w:val="00E3413C"/>
    <w:rsid w:val="00E34EA8"/>
    <w:rsid w:val="00E3649D"/>
    <w:rsid w:val="00E3684A"/>
    <w:rsid w:val="00E377C8"/>
    <w:rsid w:val="00E4050F"/>
    <w:rsid w:val="00E44005"/>
    <w:rsid w:val="00E5065B"/>
    <w:rsid w:val="00E64B99"/>
    <w:rsid w:val="00E720AD"/>
    <w:rsid w:val="00E72C84"/>
    <w:rsid w:val="00E8035B"/>
    <w:rsid w:val="00E805A6"/>
    <w:rsid w:val="00E908F4"/>
    <w:rsid w:val="00E96370"/>
    <w:rsid w:val="00E976F1"/>
    <w:rsid w:val="00EA1F7B"/>
    <w:rsid w:val="00EA2D1D"/>
    <w:rsid w:val="00EC2A6E"/>
    <w:rsid w:val="00EC6126"/>
    <w:rsid w:val="00EC6911"/>
    <w:rsid w:val="00ED3765"/>
    <w:rsid w:val="00EE1668"/>
    <w:rsid w:val="00EE42D0"/>
    <w:rsid w:val="00EE4AFB"/>
    <w:rsid w:val="00EE58C3"/>
    <w:rsid w:val="00F00198"/>
    <w:rsid w:val="00F00C39"/>
    <w:rsid w:val="00F04F17"/>
    <w:rsid w:val="00F05ADB"/>
    <w:rsid w:val="00F05F07"/>
    <w:rsid w:val="00F06460"/>
    <w:rsid w:val="00F136FD"/>
    <w:rsid w:val="00F154C1"/>
    <w:rsid w:val="00F168B9"/>
    <w:rsid w:val="00F17BD7"/>
    <w:rsid w:val="00F205F5"/>
    <w:rsid w:val="00F2203C"/>
    <w:rsid w:val="00F249C1"/>
    <w:rsid w:val="00F25174"/>
    <w:rsid w:val="00F2580A"/>
    <w:rsid w:val="00F27B0C"/>
    <w:rsid w:val="00F3227C"/>
    <w:rsid w:val="00F35C6D"/>
    <w:rsid w:val="00F4346E"/>
    <w:rsid w:val="00F44919"/>
    <w:rsid w:val="00F533A9"/>
    <w:rsid w:val="00F60DC7"/>
    <w:rsid w:val="00F675A1"/>
    <w:rsid w:val="00F73E64"/>
    <w:rsid w:val="00F75801"/>
    <w:rsid w:val="00F801FA"/>
    <w:rsid w:val="00F80E70"/>
    <w:rsid w:val="00F8127B"/>
    <w:rsid w:val="00F84A75"/>
    <w:rsid w:val="00F86082"/>
    <w:rsid w:val="00F90B79"/>
    <w:rsid w:val="00F911EF"/>
    <w:rsid w:val="00F9248B"/>
    <w:rsid w:val="00F9656F"/>
    <w:rsid w:val="00FA0508"/>
    <w:rsid w:val="00FA41C3"/>
    <w:rsid w:val="00FA50C2"/>
    <w:rsid w:val="00FA6B15"/>
    <w:rsid w:val="00FB09B7"/>
    <w:rsid w:val="00FB144C"/>
    <w:rsid w:val="00FB23BF"/>
    <w:rsid w:val="00FB3C5B"/>
    <w:rsid w:val="00FB54BC"/>
    <w:rsid w:val="00FB5BE8"/>
    <w:rsid w:val="00FB5FE2"/>
    <w:rsid w:val="00FB6AB2"/>
    <w:rsid w:val="00FB738D"/>
    <w:rsid w:val="00FC1B3B"/>
    <w:rsid w:val="00FC41F7"/>
    <w:rsid w:val="00FC4E30"/>
    <w:rsid w:val="00FC6968"/>
    <w:rsid w:val="00FC71DC"/>
    <w:rsid w:val="00FD0935"/>
    <w:rsid w:val="00FD3C46"/>
    <w:rsid w:val="00FD695E"/>
    <w:rsid w:val="00FD6DC3"/>
    <w:rsid w:val="00FE6B69"/>
    <w:rsid w:val="00FF102E"/>
    <w:rsid w:val="00FF21B0"/>
    <w:rsid w:val="00FF2BE7"/>
    <w:rsid w:val="00FF49C3"/>
    <w:rsid w:val="00FF5708"/>
    <w:rsid w:val="5479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222A071"/>
  <w15:docId w15:val="{CC7A65AF-DB74-4D05-AD81-F6EFAA1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8">
    <w:name w:val="Pa6+8"/>
    <w:basedOn w:val="Default"/>
    <w:next w:val="Default"/>
    <w:uiPriority w:val="99"/>
    <w:rsid w:val="00A217FB"/>
    <w:pPr>
      <w:spacing w:line="161" w:lineRule="atLeast"/>
    </w:pPr>
    <w:rPr>
      <w:rFonts w:cs="Times New Roman"/>
      <w:color w:val="auto"/>
    </w:rPr>
  </w:style>
  <w:style w:type="character" w:customStyle="1" w:styleId="A3">
    <w:name w:val="A3"/>
    <w:uiPriority w:val="99"/>
    <w:rsid w:val="00A217FB"/>
    <w:rPr>
      <w:rFonts w:cs="SabonCECV"/>
      <w:color w:val="008749"/>
      <w:sz w:val="60"/>
      <w:szCs w:val="60"/>
    </w:rPr>
  </w:style>
  <w:style w:type="paragraph" w:customStyle="1" w:styleId="Pa45">
    <w:name w:val="Pa4+5"/>
    <w:basedOn w:val="Default"/>
    <w:next w:val="Default"/>
    <w:uiPriority w:val="99"/>
    <w:rsid w:val="00A217FB"/>
    <w:pPr>
      <w:spacing w:line="201" w:lineRule="atLeast"/>
    </w:pPr>
    <w:rPr>
      <w:rFonts w:cs="Times New Roman"/>
      <w:color w:val="auto"/>
    </w:rPr>
  </w:style>
  <w:style w:type="paragraph" w:customStyle="1" w:styleId="Pa18">
    <w:name w:val="Pa1+8"/>
    <w:basedOn w:val="Default"/>
    <w:next w:val="Default"/>
    <w:uiPriority w:val="99"/>
    <w:rsid w:val="00A217FB"/>
    <w:pPr>
      <w:spacing w:line="161" w:lineRule="atLeast"/>
    </w:pPr>
    <w:rPr>
      <w:rFonts w:cs="Times New Roman"/>
      <w:color w:val="auto"/>
    </w:rPr>
  </w:style>
  <w:style w:type="paragraph" w:customStyle="1" w:styleId="Pa07">
    <w:name w:val="Pa0+7"/>
    <w:basedOn w:val="Default"/>
    <w:next w:val="Default"/>
    <w:uiPriority w:val="99"/>
    <w:rsid w:val="00A217FB"/>
    <w:pPr>
      <w:spacing w:line="201" w:lineRule="atLeast"/>
    </w:pPr>
    <w:rPr>
      <w:rFonts w:cs="Times New Roman"/>
      <w:color w:val="auto"/>
    </w:rPr>
  </w:style>
  <w:style w:type="paragraph" w:customStyle="1" w:styleId="prefix1">
    <w:name w:val="prefix_1"/>
    <w:basedOn w:val="Standard"/>
    <w:rsid w:val="0083428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834288"/>
    <w:rPr>
      <w:b/>
      <w:bCs/>
    </w:rPr>
  </w:style>
  <w:style w:type="paragraph" w:styleId="StandardWeb">
    <w:name w:val="Normal (Web)"/>
    <w:basedOn w:val="Standard"/>
    <w:uiPriority w:val="99"/>
    <w:unhideWhenUsed/>
    <w:rsid w:val="002B4A21"/>
    <w:pPr>
      <w:spacing w:before="100" w:beforeAutospacing="1" w:after="100" w:afterAutospacing="1" w:line="240" w:lineRule="auto"/>
    </w:pPr>
    <w:rPr>
      <w:rFonts w:ascii="Times New Roman" w:hAnsi="Times New Roman"/>
      <w:sz w:val="24"/>
    </w:rPr>
  </w:style>
  <w:style w:type="paragraph" w:customStyle="1" w:styleId="Pa39">
    <w:name w:val="Pa3+9"/>
    <w:basedOn w:val="Default"/>
    <w:next w:val="Default"/>
    <w:uiPriority w:val="99"/>
    <w:rsid w:val="002B4A21"/>
    <w:pPr>
      <w:spacing w:line="201" w:lineRule="atLeast"/>
    </w:pPr>
    <w:rPr>
      <w:rFonts w:cs="Times New Roman"/>
      <w:color w:val="auto"/>
    </w:rPr>
  </w:style>
  <w:style w:type="paragraph" w:customStyle="1" w:styleId="Pa26">
    <w:name w:val="Pa2+6"/>
    <w:basedOn w:val="Default"/>
    <w:next w:val="Default"/>
    <w:uiPriority w:val="99"/>
    <w:rsid w:val="00583C16"/>
    <w:pPr>
      <w:spacing w:before="600" w:after="300" w:line="281" w:lineRule="atLeast"/>
    </w:pPr>
    <w:rPr>
      <w:rFonts w:cs="Times New Roman"/>
      <w:color w:val="auto"/>
    </w:rPr>
  </w:style>
  <w:style w:type="paragraph" w:customStyle="1" w:styleId="Pa106">
    <w:name w:val="Pa10+6"/>
    <w:basedOn w:val="Default"/>
    <w:next w:val="Default"/>
    <w:uiPriority w:val="99"/>
    <w:rsid w:val="00583C16"/>
    <w:pPr>
      <w:spacing w:line="141" w:lineRule="atLeast"/>
    </w:pPr>
    <w:rPr>
      <w:rFonts w:cs="Times New Roman"/>
      <w:color w:val="auto"/>
    </w:rPr>
  </w:style>
  <w:style w:type="character" w:customStyle="1" w:styleId="A54">
    <w:name w:val="A5+4"/>
    <w:uiPriority w:val="99"/>
    <w:rsid w:val="00583C16"/>
    <w:rPr>
      <w:rFonts w:ascii="CorporateCVS" w:hAnsi="CorporateCVS" w:cs="CorporateCVS"/>
      <w:b/>
      <w:bCs/>
      <w:color w:val="FFFFFF"/>
      <w:sz w:val="20"/>
      <w:szCs w:val="20"/>
      <w:u w:val="single"/>
    </w:rPr>
  </w:style>
  <w:style w:type="character" w:styleId="Hervorhebung">
    <w:name w:val="Emphasis"/>
    <w:basedOn w:val="Absatz-Standardschriftart"/>
    <w:uiPriority w:val="20"/>
    <w:qFormat/>
    <w:rsid w:val="00440342"/>
    <w:rPr>
      <w:i/>
      <w:iCs/>
    </w:rPr>
  </w:style>
  <w:style w:type="character" w:customStyle="1" w:styleId="reference-text">
    <w:name w:val="reference-text"/>
    <w:basedOn w:val="Absatz-Standardschriftart"/>
    <w:rsid w:val="00C72E03"/>
  </w:style>
  <w:style w:type="paragraph" w:customStyle="1" w:styleId="Pa133">
    <w:name w:val="Pa13+3"/>
    <w:basedOn w:val="Default"/>
    <w:next w:val="Default"/>
    <w:uiPriority w:val="99"/>
    <w:rsid w:val="00612B8C"/>
    <w:pPr>
      <w:spacing w:line="161" w:lineRule="atLeast"/>
    </w:pPr>
    <w:rPr>
      <w:rFonts w:ascii="Adobe Garamond Pro" w:hAnsi="Adobe Garamond Pro" w:cs="Times New Roman"/>
      <w:color w:val="auto"/>
    </w:rPr>
  </w:style>
  <w:style w:type="character" w:customStyle="1" w:styleId="A73">
    <w:name w:val="A7+3"/>
    <w:uiPriority w:val="99"/>
    <w:rsid w:val="00612B8C"/>
    <w:rPr>
      <w:rFonts w:cs="Adobe Garamond Pro"/>
      <w:color w:val="000000"/>
      <w:sz w:val="17"/>
      <w:szCs w:val="17"/>
    </w:rPr>
  </w:style>
  <w:style w:type="paragraph" w:customStyle="1" w:styleId="copy">
    <w:name w:val="copy"/>
    <w:basedOn w:val="Standard"/>
    <w:rsid w:val="0040732B"/>
    <w:pPr>
      <w:spacing w:before="100" w:beforeAutospacing="1" w:after="100" w:afterAutospacing="1" w:line="240" w:lineRule="auto"/>
    </w:pPr>
    <w:rPr>
      <w:rFonts w:ascii="Times New Roman" w:hAnsi="Times New Roman"/>
      <w:sz w:val="24"/>
    </w:rPr>
  </w:style>
  <w:style w:type="character" w:customStyle="1" w:styleId="autor">
    <w:name w:val="autor"/>
    <w:basedOn w:val="Absatz-Standardschriftart"/>
    <w:rsid w:val="0040732B"/>
  </w:style>
  <w:style w:type="character" w:customStyle="1" w:styleId="datum">
    <w:name w:val="datum"/>
    <w:basedOn w:val="Absatz-Standardschriftart"/>
    <w:rsid w:val="0040732B"/>
  </w:style>
  <w:style w:type="character" w:customStyle="1" w:styleId="caps">
    <w:name w:val="caps"/>
    <w:basedOn w:val="Absatz-Standardschriftart"/>
    <w:rsid w:val="0040732B"/>
  </w:style>
  <w:style w:type="character" w:customStyle="1" w:styleId="bildnachweis">
    <w:name w:val="bildnachweis"/>
    <w:basedOn w:val="Absatz-Standardschriftart"/>
    <w:rsid w:val="0040732B"/>
  </w:style>
  <w:style w:type="character" w:customStyle="1" w:styleId="bildunterschrift">
    <w:name w:val="bildunterschrift"/>
    <w:basedOn w:val="Absatz-Standardschriftart"/>
    <w:rsid w:val="0040732B"/>
  </w:style>
  <w:style w:type="paragraph" w:customStyle="1" w:styleId="first">
    <w:name w:val="first"/>
    <w:basedOn w:val="Standard"/>
    <w:rsid w:val="0040732B"/>
    <w:pPr>
      <w:spacing w:before="100" w:beforeAutospacing="1" w:after="100" w:afterAutospacing="1" w:line="240" w:lineRule="auto"/>
    </w:pPr>
    <w:rPr>
      <w:rFonts w:ascii="Times New Roman" w:hAnsi="Times New Roman"/>
      <w:sz w:val="24"/>
    </w:rPr>
  </w:style>
  <w:style w:type="paragraph" w:customStyle="1" w:styleId="natpl-kicker">
    <w:name w:val="natpl-kicker"/>
    <w:basedOn w:val="Standard"/>
    <w:rsid w:val="0040732B"/>
    <w:pPr>
      <w:spacing w:before="100" w:beforeAutospacing="1" w:after="100" w:afterAutospacing="1" w:line="240" w:lineRule="auto"/>
    </w:pPr>
    <w:rPr>
      <w:rFonts w:ascii="Times New Roman" w:hAnsi="Times New Roman"/>
      <w:sz w:val="24"/>
    </w:rPr>
  </w:style>
  <w:style w:type="paragraph" w:customStyle="1" w:styleId="natpl-teaser">
    <w:name w:val="natpl-teaser"/>
    <w:basedOn w:val="Standard"/>
    <w:rsid w:val="0040732B"/>
    <w:pPr>
      <w:spacing w:before="100" w:beforeAutospacing="1" w:after="100" w:afterAutospacing="1" w:line="240" w:lineRule="auto"/>
    </w:pPr>
    <w:rPr>
      <w:rFonts w:ascii="Times New Roman" w:hAnsi="Times New Roman"/>
      <w:sz w:val="24"/>
    </w:rPr>
  </w:style>
  <w:style w:type="paragraph" w:customStyle="1" w:styleId="weiterebeitraege">
    <w:name w:val="weiterebeitraege"/>
    <w:basedOn w:val="Standard"/>
    <w:rsid w:val="0040732B"/>
    <w:pPr>
      <w:spacing w:before="100" w:beforeAutospacing="1" w:after="100" w:afterAutospacing="1" w:line="240" w:lineRule="auto"/>
    </w:pPr>
    <w:rPr>
      <w:rFonts w:ascii="Times New Roman" w:hAnsi="Times New Roman"/>
      <w:sz w:val="24"/>
    </w:rPr>
  </w:style>
  <w:style w:type="character" w:customStyle="1" w:styleId="wbhead">
    <w:name w:val="wbhead"/>
    <w:basedOn w:val="Absatz-Standardschriftart"/>
    <w:rsid w:val="0040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533">
      <w:bodyDiv w:val="1"/>
      <w:marLeft w:val="0"/>
      <w:marRight w:val="0"/>
      <w:marTop w:val="0"/>
      <w:marBottom w:val="0"/>
      <w:divBdr>
        <w:top w:val="none" w:sz="0" w:space="0" w:color="auto"/>
        <w:left w:val="none" w:sz="0" w:space="0" w:color="auto"/>
        <w:bottom w:val="none" w:sz="0" w:space="0" w:color="auto"/>
        <w:right w:val="none" w:sz="0" w:space="0" w:color="auto"/>
      </w:divBdr>
      <w:divsChild>
        <w:div w:id="70976379">
          <w:marLeft w:val="0"/>
          <w:marRight w:val="0"/>
          <w:marTop w:val="0"/>
          <w:marBottom w:val="0"/>
          <w:divBdr>
            <w:top w:val="none" w:sz="0" w:space="0" w:color="auto"/>
            <w:left w:val="none" w:sz="0" w:space="0" w:color="auto"/>
            <w:bottom w:val="none" w:sz="0" w:space="0" w:color="auto"/>
            <w:right w:val="none" w:sz="0" w:space="0" w:color="auto"/>
          </w:divBdr>
        </w:div>
        <w:div w:id="363289739">
          <w:marLeft w:val="0"/>
          <w:marRight w:val="0"/>
          <w:marTop w:val="0"/>
          <w:marBottom w:val="0"/>
          <w:divBdr>
            <w:top w:val="none" w:sz="0" w:space="0" w:color="auto"/>
            <w:left w:val="none" w:sz="0" w:space="0" w:color="auto"/>
            <w:bottom w:val="none" w:sz="0" w:space="0" w:color="auto"/>
            <w:right w:val="none" w:sz="0" w:space="0" w:color="auto"/>
          </w:divBdr>
        </w:div>
        <w:div w:id="1439174467">
          <w:marLeft w:val="0"/>
          <w:marRight w:val="0"/>
          <w:marTop w:val="0"/>
          <w:marBottom w:val="0"/>
          <w:divBdr>
            <w:top w:val="none" w:sz="0" w:space="0" w:color="auto"/>
            <w:left w:val="none" w:sz="0" w:space="0" w:color="auto"/>
            <w:bottom w:val="none" w:sz="0" w:space="0" w:color="auto"/>
            <w:right w:val="none" w:sz="0" w:space="0" w:color="auto"/>
          </w:divBdr>
        </w:div>
      </w:divsChild>
    </w:div>
    <w:div w:id="111243845">
      <w:bodyDiv w:val="1"/>
      <w:marLeft w:val="0"/>
      <w:marRight w:val="0"/>
      <w:marTop w:val="0"/>
      <w:marBottom w:val="0"/>
      <w:divBdr>
        <w:top w:val="none" w:sz="0" w:space="0" w:color="auto"/>
        <w:left w:val="none" w:sz="0" w:space="0" w:color="auto"/>
        <w:bottom w:val="none" w:sz="0" w:space="0" w:color="auto"/>
        <w:right w:val="none" w:sz="0" w:space="0" w:color="auto"/>
      </w:divBdr>
    </w:div>
    <w:div w:id="218904206">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126">
      <w:bodyDiv w:val="1"/>
      <w:marLeft w:val="0"/>
      <w:marRight w:val="0"/>
      <w:marTop w:val="0"/>
      <w:marBottom w:val="0"/>
      <w:divBdr>
        <w:top w:val="none" w:sz="0" w:space="0" w:color="auto"/>
        <w:left w:val="none" w:sz="0" w:space="0" w:color="auto"/>
        <w:bottom w:val="none" w:sz="0" w:space="0" w:color="auto"/>
        <w:right w:val="none" w:sz="0" w:space="0" w:color="auto"/>
      </w:divBdr>
    </w:div>
    <w:div w:id="574709105">
      <w:bodyDiv w:val="1"/>
      <w:marLeft w:val="0"/>
      <w:marRight w:val="0"/>
      <w:marTop w:val="0"/>
      <w:marBottom w:val="0"/>
      <w:divBdr>
        <w:top w:val="none" w:sz="0" w:space="0" w:color="auto"/>
        <w:left w:val="none" w:sz="0" w:space="0" w:color="auto"/>
        <w:bottom w:val="none" w:sz="0" w:space="0" w:color="auto"/>
        <w:right w:val="none" w:sz="0" w:space="0" w:color="auto"/>
      </w:divBdr>
      <w:divsChild>
        <w:div w:id="369578074">
          <w:marLeft w:val="0"/>
          <w:marRight w:val="0"/>
          <w:marTop w:val="0"/>
          <w:marBottom w:val="0"/>
          <w:divBdr>
            <w:top w:val="none" w:sz="0" w:space="0" w:color="auto"/>
            <w:left w:val="none" w:sz="0" w:space="0" w:color="auto"/>
            <w:bottom w:val="none" w:sz="0" w:space="0" w:color="auto"/>
            <w:right w:val="none" w:sz="0" w:space="0" w:color="auto"/>
          </w:divBdr>
          <w:divsChild>
            <w:div w:id="1644919530">
              <w:marLeft w:val="0"/>
              <w:marRight w:val="0"/>
              <w:marTop w:val="0"/>
              <w:marBottom w:val="0"/>
              <w:divBdr>
                <w:top w:val="none" w:sz="0" w:space="0" w:color="auto"/>
                <w:left w:val="none" w:sz="0" w:space="0" w:color="auto"/>
                <w:bottom w:val="none" w:sz="0" w:space="0" w:color="auto"/>
                <w:right w:val="none" w:sz="0" w:space="0" w:color="auto"/>
              </w:divBdr>
              <w:divsChild>
                <w:div w:id="1079866102">
                  <w:marLeft w:val="0"/>
                  <w:marRight w:val="0"/>
                  <w:marTop w:val="0"/>
                  <w:marBottom w:val="0"/>
                  <w:divBdr>
                    <w:top w:val="none" w:sz="0" w:space="0" w:color="auto"/>
                    <w:left w:val="none" w:sz="0" w:space="0" w:color="auto"/>
                    <w:bottom w:val="none" w:sz="0" w:space="0" w:color="auto"/>
                    <w:right w:val="none" w:sz="0" w:space="0" w:color="auto"/>
                  </w:divBdr>
                  <w:divsChild>
                    <w:div w:id="1707413028">
                      <w:marLeft w:val="0"/>
                      <w:marRight w:val="0"/>
                      <w:marTop w:val="0"/>
                      <w:marBottom w:val="0"/>
                      <w:divBdr>
                        <w:top w:val="none" w:sz="0" w:space="0" w:color="auto"/>
                        <w:left w:val="none" w:sz="0" w:space="0" w:color="auto"/>
                        <w:bottom w:val="none" w:sz="0" w:space="0" w:color="auto"/>
                        <w:right w:val="none" w:sz="0" w:space="0" w:color="auto"/>
                      </w:divBdr>
                    </w:div>
                    <w:div w:id="1954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140">
      <w:bodyDiv w:val="1"/>
      <w:marLeft w:val="0"/>
      <w:marRight w:val="0"/>
      <w:marTop w:val="0"/>
      <w:marBottom w:val="0"/>
      <w:divBdr>
        <w:top w:val="none" w:sz="0" w:space="0" w:color="auto"/>
        <w:left w:val="none" w:sz="0" w:space="0" w:color="auto"/>
        <w:bottom w:val="none" w:sz="0" w:space="0" w:color="auto"/>
        <w:right w:val="none" w:sz="0" w:space="0" w:color="auto"/>
      </w:divBdr>
    </w:div>
    <w:div w:id="1060404040">
      <w:bodyDiv w:val="1"/>
      <w:marLeft w:val="0"/>
      <w:marRight w:val="0"/>
      <w:marTop w:val="0"/>
      <w:marBottom w:val="0"/>
      <w:divBdr>
        <w:top w:val="none" w:sz="0" w:space="0" w:color="auto"/>
        <w:left w:val="none" w:sz="0" w:space="0" w:color="auto"/>
        <w:bottom w:val="none" w:sz="0" w:space="0" w:color="auto"/>
        <w:right w:val="none" w:sz="0" w:space="0" w:color="auto"/>
      </w:divBdr>
      <w:divsChild>
        <w:div w:id="22676080">
          <w:marLeft w:val="0"/>
          <w:marRight w:val="0"/>
          <w:marTop w:val="0"/>
          <w:marBottom w:val="0"/>
          <w:divBdr>
            <w:top w:val="none" w:sz="0" w:space="0" w:color="auto"/>
            <w:left w:val="none" w:sz="0" w:space="0" w:color="auto"/>
            <w:bottom w:val="none" w:sz="0" w:space="0" w:color="auto"/>
            <w:right w:val="none" w:sz="0" w:space="0" w:color="auto"/>
          </w:divBdr>
        </w:div>
        <w:div w:id="484397007">
          <w:marLeft w:val="0"/>
          <w:marRight w:val="0"/>
          <w:marTop w:val="0"/>
          <w:marBottom w:val="0"/>
          <w:divBdr>
            <w:top w:val="none" w:sz="0" w:space="0" w:color="auto"/>
            <w:left w:val="none" w:sz="0" w:space="0" w:color="auto"/>
            <w:bottom w:val="none" w:sz="0" w:space="0" w:color="auto"/>
            <w:right w:val="none" w:sz="0" w:space="0" w:color="auto"/>
          </w:divBdr>
          <w:divsChild>
            <w:div w:id="136454928">
              <w:marLeft w:val="0"/>
              <w:marRight w:val="0"/>
              <w:marTop w:val="0"/>
              <w:marBottom w:val="0"/>
              <w:divBdr>
                <w:top w:val="none" w:sz="0" w:space="0" w:color="auto"/>
                <w:left w:val="none" w:sz="0" w:space="0" w:color="auto"/>
                <w:bottom w:val="none" w:sz="0" w:space="0" w:color="auto"/>
                <w:right w:val="none" w:sz="0" w:space="0" w:color="auto"/>
              </w:divBdr>
              <w:divsChild>
                <w:div w:id="1434517729">
                  <w:marLeft w:val="0"/>
                  <w:marRight w:val="0"/>
                  <w:marTop w:val="0"/>
                  <w:marBottom w:val="0"/>
                  <w:divBdr>
                    <w:top w:val="none" w:sz="0" w:space="0" w:color="auto"/>
                    <w:left w:val="none" w:sz="0" w:space="0" w:color="auto"/>
                    <w:bottom w:val="none" w:sz="0" w:space="0" w:color="auto"/>
                    <w:right w:val="none" w:sz="0" w:space="0" w:color="auto"/>
                  </w:divBdr>
                  <w:divsChild>
                    <w:div w:id="180819985">
                      <w:marLeft w:val="0"/>
                      <w:marRight w:val="0"/>
                      <w:marTop w:val="0"/>
                      <w:marBottom w:val="0"/>
                      <w:divBdr>
                        <w:top w:val="none" w:sz="0" w:space="0" w:color="auto"/>
                        <w:left w:val="none" w:sz="0" w:space="0" w:color="auto"/>
                        <w:bottom w:val="none" w:sz="0" w:space="0" w:color="auto"/>
                        <w:right w:val="none" w:sz="0" w:space="0" w:color="auto"/>
                      </w:divBdr>
                    </w:div>
                  </w:divsChild>
                </w:div>
                <w:div w:id="1995523717">
                  <w:marLeft w:val="0"/>
                  <w:marRight w:val="0"/>
                  <w:marTop w:val="0"/>
                  <w:marBottom w:val="0"/>
                  <w:divBdr>
                    <w:top w:val="none" w:sz="0" w:space="0" w:color="auto"/>
                    <w:left w:val="none" w:sz="0" w:space="0" w:color="auto"/>
                    <w:bottom w:val="none" w:sz="0" w:space="0" w:color="auto"/>
                    <w:right w:val="none" w:sz="0" w:space="0" w:color="auto"/>
                  </w:divBdr>
                  <w:divsChild>
                    <w:div w:id="1317606661">
                      <w:marLeft w:val="0"/>
                      <w:marRight w:val="0"/>
                      <w:marTop w:val="0"/>
                      <w:marBottom w:val="0"/>
                      <w:divBdr>
                        <w:top w:val="none" w:sz="0" w:space="0" w:color="auto"/>
                        <w:left w:val="none" w:sz="0" w:space="0" w:color="auto"/>
                        <w:bottom w:val="none" w:sz="0" w:space="0" w:color="auto"/>
                        <w:right w:val="none" w:sz="0" w:space="0" w:color="auto"/>
                      </w:divBdr>
                      <w:divsChild>
                        <w:div w:id="2099128929">
                          <w:marLeft w:val="0"/>
                          <w:marRight w:val="0"/>
                          <w:marTop w:val="0"/>
                          <w:marBottom w:val="0"/>
                          <w:divBdr>
                            <w:top w:val="none" w:sz="0" w:space="0" w:color="auto"/>
                            <w:left w:val="none" w:sz="0" w:space="0" w:color="auto"/>
                            <w:bottom w:val="none" w:sz="0" w:space="0" w:color="auto"/>
                            <w:right w:val="none" w:sz="0" w:space="0" w:color="auto"/>
                          </w:divBdr>
                          <w:divsChild>
                            <w:div w:id="1069839402">
                              <w:marLeft w:val="0"/>
                              <w:marRight w:val="0"/>
                              <w:marTop w:val="0"/>
                              <w:marBottom w:val="0"/>
                              <w:divBdr>
                                <w:top w:val="none" w:sz="0" w:space="0" w:color="auto"/>
                                <w:left w:val="none" w:sz="0" w:space="0" w:color="auto"/>
                                <w:bottom w:val="none" w:sz="0" w:space="0" w:color="auto"/>
                                <w:right w:val="none" w:sz="0" w:space="0" w:color="auto"/>
                              </w:divBdr>
                            </w:div>
                            <w:div w:id="127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02010">
          <w:marLeft w:val="0"/>
          <w:marRight w:val="0"/>
          <w:marTop w:val="0"/>
          <w:marBottom w:val="0"/>
          <w:divBdr>
            <w:top w:val="none" w:sz="0" w:space="0" w:color="auto"/>
            <w:left w:val="none" w:sz="0" w:space="0" w:color="auto"/>
            <w:bottom w:val="none" w:sz="0" w:space="0" w:color="auto"/>
            <w:right w:val="none" w:sz="0" w:space="0" w:color="auto"/>
          </w:divBdr>
          <w:divsChild>
            <w:div w:id="246497390">
              <w:marLeft w:val="0"/>
              <w:marRight w:val="0"/>
              <w:marTop w:val="0"/>
              <w:marBottom w:val="0"/>
              <w:divBdr>
                <w:top w:val="none" w:sz="0" w:space="0" w:color="auto"/>
                <w:left w:val="none" w:sz="0" w:space="0" w:color="auto"/>
                <w:bottom w:val="none" w:sz="0" w:space="0" w:color="auto"/>
                <w:right w:val="none" w:sz="0" w:space="0" w:color="auto"/>
              </w:divBdr>
              <w:divsChild>
                <w:div w:id="11728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926">
      <w:bodyDiv w:val="1"/>
      <w:marLeft w:val="0"/>
      <w:marRight w:val="0"/>
      <w:marTop w:val="0"/>
      <w:marBottom w:val="0"/>
      <w:divBdr>
        <w:top w:val="none" w:sz="0" w:space="0" w:color="auto"/>
        <w:left w:val="none" w:sz="0" w:space="0" w:color="auto"/>
        <w:bottom w:val="none" w:sz="0" w:space="0" w:color="auto"/>
        <w:right w:val="none" w:sz="0" w:space="0" w:color="auto"/>
      </w:divBdr>
    </w:div>
    <w:div w:id="1167861182">
      <w:bodyDiv w:val="1"/>
      <w:marLeft w:val="0"/>
      <w:marRight w:val="0"/>
      <w:marTop w:val="0"/>
      <w:marBottom w:val="0"/>
      <w:divBdr>
        <w:top w:val="none" w:sz="0" w:space="0" w:color="auto"/>
        <w:left w:val="none" w:sz="0" w:space="0" w:color="auto"/>
        <w:bottom w:val="none" w:sz="0" w:space="0" w:color="auto"/>
        <w:right w:val="none" w:sz="0" w:space="0" w:color="auto"/>
      </w:divBdr>
    </w:div>
    <w:div w:id="1360474999">
      <w:bodyDiv w:val="1"/>
      <w:marLeft w:val="0"/>
      <w:marRight w:val="0"/>
      <w:marTop w:val="0"/>
      <w:marBottom w:val="0"/>
      <w:divBdr>
        <w:top w:val="none" w:sz="0" w:space="0" w:color="auto"/>
        <w:left w:val="none" w:sz="0" w:space="0" w:color="auto"/>
        <w:bottom w:val="none" w:sz="0" w:space="0" w:color="auto"/>
        <w:right w:val="none" w:sz="0" w:space="0" w:color="auto"/>
      </w:divBdr>
      <w:divsChild>
        <w:div w:id="2129733900">
          <w:marLeft w:val="0"/>
          <w:marRight w:val="0"/>
          <w:marTop w:val="0"/>
          <w:marBottom w:val="0"/>
          <w:divBdr>
            <w:top w:val="none" w:sz="0" w:space="0" w:color="auto"/>
            <w:left w:val="none" w:sz="0" w:space="0" w:color="auto"/>
            <w:bottom w:val="none" w:sz="0" w:space="0" w:color="auto"/>
            <w:right w:val="none" w:sz="0" w:space="0" w:color="auto"/>
          </w:divBdr>
          <w:divsChild>
            <w:div w:id="1307204417">
              <w:marLeft w:val="0"/>
              <w:marRight w:val="0"/>
              <w:marTop w:val="0"/>
              <w:marBottom w:val="0"/>
              <w:divBdr>
                <w:top w:val="none" w:sz="0" w:space="0" w:color="auto"/>
                <w:left w:val="none" w:sz="0" w:space="0" w:color="auto"/>
                <w:bottom w:val="none" w:sz="0" w:space="0" w:color="auto"/>
                <w:right w:val="none" w:sz="0" w:space="0" w:color="auto"/>
              </w:divBdr>
              <w:divsChild>
                <w:div w:id="1157965450">
                  <w:marLeft w:val="0"/>
                  <w:marRight w:val="0"/>
                  <w:marTop w:val="0"/>
                  <w:marBottom w:val="0"/>
                  <w:divBdr>
                    <w:top w:val="none" w:sz="0" w:space="0" w:color="auto"/>
                    <w:left w:val="none" w:sz="0" w:space="0" w:color="auto"/>
                    <w:bottom w:val="none" w:sz="0" w:space="0" w:color="auto"/>
                    <w:right w:val="none" w:sz="0" w:space="0" w:color="auto"/>
                  </w:divBdr>
                </w:div>
                <w:div w:id="36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1880">
      <w:bodyDiv w:val="1"/>
      <w:marLeft w:val="0"/>
      <w:marRight w:val="0"/>
      <w:marTop w:val="0"/>
      <w:marBottom w:val="0"/>
      <w:divBdr>
        <w:top w:val="none" w:sz="0" w:space="0" w:color="auto"/>
        <w:left w:val="none" w:sz="0" w:space="0" w:color="auto"/>
        <w:bottom w:val="none" w:sz="0" w:space="0" w:color="auto"/>
        <w:right w:val="none" w:sz="0" w:space="0" w:color="auto"/>
      </w:divBdr>
    </w:div>
    <w:div w:id="1481582787">
      <w:bodyDiv w:val="1"/>
      <w:marLeft w:val="0"/>
      <w:marRight w:val="0"/>
      <w:marTop w:val="0"/>
      <w:marBottom w:val="0"/>
      <w:divBdr>
        <w:top w:val="none" w:sz="0" w:space="0" w:color="auto"/>
        <w:left w:val="none" w:sz="0" w:space="0" w:color="auto"/>
        <w:bottom w:val="none" w:sz="0" w:space="0" w:color="auto"/>
        <w:right w:val="none" w:sz="0" w:space="0" w:color="auto"/>
      </w:divBdr>
    </w:div>
    <w:div w:id="1655522456">
      <w:bodyDiv w:val="1"/>
      <w:marLeft w:val="0"/>
      <w:marRight w:val="0"/>
      <w:marTop w:val="0"/>
      <w:marBottom w:val="0"/>
      <w:divBdr>
        <w:top w:val="none" w:sz="0" w:space="0" w:color="auto"/>
        <w:left w:val="none" w:sz="0" w:space="0" w:color="auto"/>
        <w:bottom w:val="none" w:sz="0" w:space="0" w:color="auto"/>
        <w:right w:val="none" w:sz="0" w:space="0" w:color="auto"/>
      </w:divBdr>
    </w:div>
    <w:div w:id="1672828806">
      <w:bodyDiv w:val="1"/>
      <w:marLeft w:val="0"/>
      <w:marRight w:val="0"/>
      <w:marTop w:val="0"/>
      <w:marBottom w:val="0"/>
      <w:divBdr>
        <w:top w:val="none" w:sz="0" w:space="0" w:color="auto"/>
        <w:left w:val="none" w:sz="0" w:space="0" w:color="auto"/>
        <w:bottom w:val="none" w:sz="0" w:space="0" w:color="auto"/>
        <w:right w:val="none" w:sz="0" w:space="0" w:color="auto"/>
      </w:divBdr>
    </w:div>
    <w:div w:id="1840846141">
      <w:bodyDiv w:val="1"/>
      <w:marLeft w:val="0"/>
      <w:marRight w:val="0"/>
      <w:marTop w:val="0"/>
      <w:marBottom w:val="0"/>
      <w:divBdr>
        <w:top w:val="none" w:sz="0" w:space="0" w:color="auto"/>
        <w:left w:val="none" w:sz="0" w:space="0" w:color="auto"/>
        <w:bottom w:val="none" w:sz="0" w:space="0" w:color="auto"/>
        <w:right w:val="none" w:sz="0" w:space="0" w:color="auto"/>
      </w:divBdr>
    </w:div>
    <w:div w:id="186898469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A1EE-E67B-428D-B85B-D6AA3F8A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1429</Words>
  <Characters>9007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10416</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2016-01-20T13:22:00Z</cp:lastPrinted>
  <dcterms:created xsi:type="dcterms:W3CDTF">2016-03-24T13:13:00Z</dcterms:created>
  <dcterms:modified xsi:type="dcterms:W3CDTF">2016-03-24T13:13:00Z</dcterms:modified>
  <cp:category>Aktualitätendienst Politik</cp:category>
</cp:coreProperties>
</file>